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F53C8" w14:textId="77777777" w:rsidR="000129D5" w:rsidRPr="000129D5" w:rsidRDefault="000129D5" w:rsidP="007273E0">
      <w:pPr>
        <w:pStyle w:val="Heading1"/>
        <w:spacing w:before="0"/>
        <w:rPr>
          <w:rStyle w:val="Heading1Char"/>
          <w:b/>
        </w:rPr>
      </w:pPr>
      <w:r w:rsidRPr="000129D5">
        <w:t xml:space="preserve">Academic Continuity </w:t>
      </w:r>
      <w:proofErr w:type="gramStart"/>
      <w:r w:rsidRPr="000129D5">
        <w:t>During</w:t>
      </w:r>
      <w:proofErr w:type="gramEnd"/>
      <w:r w:rsidRPr="000129D5">
        <w:t xml:space="preserve"> COVID-19 and Work-Integrated Learning </w:t>
      </w:r>
    </w:p>
    <w:p w14:paraId="335DD60E" w14:textId="77777777" w:rsidR="000129D5" w:rsidRPr="006D7186" w:rsidRDefault="000129D5" w:rsidP="007273E0"/>
    <w:p w14:paraId="6B7B50E4" w14:textId="77777777" w:rsidR="003731B2" w:rsidRDefault="000129D5" w:rsidP="007273E0">
      <w:pPr>
        <w:rPr>
          <w:rFonts w:cstheme="minorHAnsi"/>
          <w:sz w:val="22"/>
          <w:szCs w:val="22"/>
        </w:rPr>
      </w:pPr>
      <w:r w:rsidRPr="003731B2">
        <w:rPr>
          <w:rFonts w:cstheme="minorHAnsi"/>
          <w:sz w:val="22"/>
          <w:szCs w:val="22"/>
        </w:rPr>
        <w:t>Work-integrated learning (WIL) builds on the pedagogy behind experiential learning and works to provide students meaningful experience and reflection opportunities to aid in their transition from college to the workplace. In our current situation, where placements with employers may not be possible as designed, taking a flexible approach that focuses on the goals of experiential learning and the specific WIL experience will help to inform the best option for each experience.</w:t>
      </w:r>
      <w:r w:rsidR="003731B2">
        <w:rPr>
          <w:rFonts w:cstheme="minorHAnsi"/>
          <w:sz w:val="22"/>
          <w:szCs w:val="22"/>
        </w:rPr>
        <w:t xml:space="preserve"> </w:t>
      </w:r>
    </w:p>
    <w:p w14:paraId="31E9ABFB" w14:textId="4FBB9CCD" w:rsidR="000129D5" w:rsidRPr="003731B2" w:rsidRDefault="003731B2" w:rsidP="007273E0">
      <w:pPr>
        <w:rPr>
          <w:rFonts w:cstheme="minorHAnsi"/>
          <w:i/>
          <w:sz w:val="22"/>
          <w:szCs w:val="22"/>
        </w:rPr>
      </w:pPr>
      <w:r w:rsidRPr="003731B2">
        <w:rPr>
          <w:rFonts w:cstheme="minorHAnsi"/>
          <w:i/>
          <w:sz w:val="22"/>
          <w:szCs w:val="22"/>
        </w:rPr>
        <w:t>Note: A continuity plan for co-op work placements has already been created, so this document focuses on other types of WIL.</w:t>
      </w:r>
    </w:p>
    <w:p w14:paraId="3D183795" w14:textId="77777777" w:rsidR="007273E0" w:rsidRPr="006D7186" w:rsidRDefault="007273E0" w:rsidP="007273E0"/>
    <w:p w14:paraId="7420610D" w14:textId="6FEA14C7" w:rsidR="00674405" w:rsidRPr="00E17896" w:rsidRDefault="000129D5" w:rsidP="007273E0">
      <w:pPr>
        <w:tabs>
          <w:tab w:val="left" w:pos="1351"/>
        </w:tabs>
        <w:rPr>
          <w:rFonts w:ascii="Arial" w:hAnsi="Arial" w:cs="Arial"/>
          <w:b/>
          <w:color w:val="005A38"/>
          <w:sz w:val="28"/>
          <w:szCs w:val="28"/>
        </w:rPr>
      </w:pPr>
      <w:r>
        <w:rPr>
          <w:rFonts w:ascii="Arial" w:hAnsi="Arial" w:cs="Arial"/>
          <w:b/>
          <w:color w:val="005A38"/>
          <w:sz w:val="28"/>
          <w:szCs w:val="28"/>
        </w:rPr>
        <w:t>Focusing on Flexibility</w:t>
      </w:r>
      <w:r w:rsidR="00674405">
        <w:rPr>
          <w:rFonts w:ascii="Arial" w:hAnsi="Arial" w:cs="Arial"/>
          <w:b/>
          <w:color w:val="005A38"/>
          <w:sz w:val="28"/>
          <w:szCs w:val="28"/>
        </w:rPr>
        <w:br/>
      </w:r>
    </w:p>
    <w:p w14:paraId="419B232C" w14:textId="3FB4EC24" w:rsidR="000129D5" w:rsidRPr="003731B2" w:rsidRDefault="000129D5" w:rsidP="007273E0">
      <w:pPr>
        <w:rPr>
          <w:sz w:val="22"/>
        </w:rPr>
      </w:pPr>
      <w:r w:rsidRPr="003731B2">
        <w:rPr>
          <w:sz w:val="22"/>
        </w:rPr>
        <w:t>Where possible focus on whether the goals of the experience have been/can be achieved rather than focusing on the components of the specific WIL experience. For example:</w:t>
      </w:r>
      <w:r w:rsidR="00674405" w:rsidRPr="003731B2">
        <w:rPr>
          <w:sz w:val="22"/>
        </w:rPr>
        <w:br/>
      </w:r>
    </w:p>
    <w:p w14:paraId="77A12AEB" w14:textId="77777777" w:rsidR="000129D5" w:rsidRPr="00674405" w:rsidRDefault="000129D5" w:rsidP="007273E0">
      <w:pPr>
        <w:pStyle w:val="ListParagraph"/>
        <w:numPr>
          <w:ilvl w:val="0"/>
          <w:numId w:val="6"/>
        </w:numPr>
        <w:rPr>
          <w:b/>
          <w:color w:val="005A38"/>
          <w:sz w:val="24"/>
        </w:rPr>
      </w:pPr>
      <w:r w:rsidRPr="00674405">
        <w:rPr>
          <w:b/>
          <w:color w:val="005A38"/>
          <w:sz w:val="24"/>
        </w:rPr>
        <w:t xml:space="preserve">Can the goals be achieved within fewer hours? </w:t>
      </w:r>
    </w:p>
    <w:p w14:paraId="7CF874B3" w14:textId="77777777" w:rsidR="000129D5" w:rsidRPr="00674405" w:rsidRDefault="000129D5" w:rsidP="007273E0">
      <w:pPr>
        <w:pStyle w:val="ListParagraph"/>
        <w:numPr>
          <w:ilvl w:val="0"/>
          <w:numId w:val="6"/>
        </w:numPr>
        <w:rPr>
          <w:b/>
          <w:color w:val="005A38"/>
          <w:sz w:val="24"/>
        </w:rPr>
      </w:pPr>
      <w:r w:rsidRPr="00674405">
        <w:rPr>
          <w:b/>
          <w:color w:val="005A38"/>
          <w:sz w:val="24"/>
        </w:rPr>
        <w:t>Can some flexibility be added to start and end dates?</w:t>
      </w:r>
    </w:p>
    <w:p w14:paraId="62A1F6A1" w14:textId="77777777" w:rsidR="000129D5" w:rsidRPr="00674405" w:rsidRDefault="000129D5" w:rsidP="007273E0">
      <w:pPr>
        <w:pStyle w:val="ListParagraph"/>
        <w:numPr>
          <w:ilvl w:val="0"/>
          <w:numId w:val="6"/>
        </w:numPr>
        <w:rPr>
          <w:b/>
          <w:color w:val="005A38"/>
          <w:sz w:val="24"/>
        </w:rPr>
      </w:pPr>
      <w:r w:rsidRPr="00674405">
        <w:rPr>
          <w:b/>
          <w:color w:val="005A38"/>
          <w:sz w:val="24"/>
        </w:rPr>
        <w:t>Could a placement or project be completed virtually?</w:t>
      </w:r>
    </w:p>
    <w:p w14:paraId="7A7F6536" w14:textId="474880C2" w:rsidR="000129D5" w:rsidRPr="00674405" w:rsidRDefault="000129D5" w:rsidP="007273E0">
      <w:pPr>
        <w:pStyle w:val="ListParagraph"/>
        <w:numPr>
          <w:ilvl w:val="0"/>
          <w:numId w:val="6"/>
        </w:numPr>
        <w:rPr>
          <w:b/>
          <w:color w:val="005A38"/>
          <w:sz w:val="24"/>
        </w:rPr>
      </w:pPr>
      <w:r w:rsidRPr="00674405">
        <w:rPr>
          <w:b/>
          <w:color w:val="005A38"/>
          <w:sz w:val="24"/>
        </w:rPr>
        <w:t>Can the goals of the WIL experience be achieved using a hybrid approach with some hours being completed at the workplace and some hours being delivered online?</w:t>
      </w:r>
    </w:p>
    <w:p w14:paraId="045AC9F3" w14:textId="7887BFC6" w:rsidR="000129D5" w:rsidRPr="00674405" w:rsidRDefault="000129D5" w:rsidP="007273E0">
      <w:pPr>
        <w:pStyle w:val="ListParagraph"/>
        <w:numPr>
          <w:ilvl w:val="0"/>
          <w:numId w:val="6"/>
        </w:numPr>
        <w:rPr>
          <w:b/>
          <w:color w:val="005A38"/>
          <w:sz w:val="24"/>
        </w:rPr>
      </w:pPr>
      <w:r w:rsidRPr="00674405">
        <w:rPr>
          <w:b/>
          <w:color w:val="005A38"/>
          <w:sz w:val="24"/>
        </w:rPr>
        <w:t>Could some students who have experience in the area complete the WIL requirement using Prior Learning Assessment and Recognition</w:t>
      </w:r>
      <w:r w:rsidR="00674405">
        <w:rPr>
          <w:b/>
          <w:color w:val="005A38"/>
          <w:sz w:val="24"/>
        </w:rPr>
        <w:t xml:space="preserve"> (PLAR)</w:t>
      </w:r>
      <w:r w:rsidRPr="00674405">
        <w:rPr>
          <w:b/>
          <w:color w:val="005A38"/>
          <w:sz w:val="24"/>
        </w:rPr>
        <w:t>?</w:t>
      </w:r>
    </w:p>
    <w:p w14:paraId="53A1FF2D" w14:textId="308A4181" w:rsidR="007273E0" w:rsidRDefault="000129D5" w:rsidP="007273E0">
      <w:pPr>
        <w:pStyle w:val="ListParagraph"/>
        <w:numPr>
          <w:ilvl w:val="0"/>
          <w:numId w:val="6"/>
        </w:numPr>
        <w:rPr>
          <w:b/>
          <w:color w:val="005A38"/>
          <w:sz w:val="24"/>
        </w:rPr>
      </w:pPr>
      <w:r w:rsidRPr="00674405">
        <w:rPr>
          <w:b/>
          <w:color w:val="005A38"/>
          <w:sz w:val="24"/>
        </w:rPr>
        <w:t xml:space="preserve">If engaging employers or clients is not possible, could the placement or project be </w:t>
      </w:r>
      <w:proofErr w:type="gramStart"/>
      <w:r w:rsidRPr="00674405">
        <w:rPr>
          <w:b/>
          <w:color w:val="005A38"/>
          <w:sz w:val="24"/>
        </w:rPr>
        <w:t>completed</w:t>
      </w:r>
      <w:proofErr w:type="gramEnd"/>
      <w:r w:rsidRPr="00674405">
        <w:rPr>
          <w:b/>
          <w:color w:val="005A38"/>
          <w:sz w:val="24"/>
        </w:rPr>
        <w:t xml:space="preserve"> through a simulation?</w:t>
      </w:r>
    </w:p>
    <w:p w14:paraId="42FFBDEA" w14:textId="77777777" w:rsidR="003731B2" w:rsidRDefault="003731B2" w:rsidP="003731B2">
      <w:pPr>
        <w:pStyle w:val="ListParagraph"/>
        <w:rPr>
          <w:b/>
          <w:color w:val="005A38"/>
          <w:sz w:val="24"/>
        </w:rPr>
      </w:pPr>
    </w:p>
    <w:p w14:paraId="2D92033A" w14:textId="438067BF" w:rsidR="00E61F32" w:rsidRPr="007273E0" w:rsidRDefault="007273E0" w:rsidP="007273E0">
      <w:pPr>
        <w:ind w:left="360"/>
        <w:jc w:val="center"/>
        <w:rPr>
          <w:rFonts w:ascii="Arial" w:hAnsi="Arial" w:cs="Arial"/>
          <w:b/>
          <w:color w:val="005A38"/>
          <w:sz w:val="28"/>
          <w:szCs w:val="28"/>
        </w:rPr>
      </w:pPr>
      <w:r>
        <w:rPr>
          <w:noProof/>
        </w:rPr>
        <w:drawing>
          <wp:anchor distT="0" distB="0" distL="114300" distR="114300" simplePos="0" relativeHeight="251661824" behindDoc="0" locked="0" layoutInCell="1" allowOverlap="1" wp14:anchorId="2CDDB1C1" wp14:editId="6CBE5498">
            <wp:simplePos x="0" y="0"/>
            <wp:positionH relativeFrom="margin">
              <wp:align>left</wp:align>
            </wp:positionH>
            <wp:positionV relativeFrom="paragraph">
              <wp:posOffset>276860</wp:posOffset>
            </wp:positionV>
            <wp:extent cx="6286500" cy="2286000"/>
            <wp:effectExtent l="38100" t="0" r="19050" b="19050"/>
            <wp:wrapThrough wrapText="bothSides">
              <wp:wrapPolygon edited="0">
                <wp:start x="0" y="0"/>
                <wp:lineTo x="-131" y="0"/>
                <wp:lineTo x="-131" y="21600"/>
                <wp:lineTo x="21600" y="21600"/>
                <wp:lineTo x="21600" y="0"/>
                <wp:lineTo x="0"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E61F32" w:rsidRPr="007273E0">
        <w:rPr>
          <w:rFonts w:ascii="Arial" w:hAnsi="Arial" w:cs="Arial"/>
          <w:b/>
          <w:noProof/>
          <w:sz w:val="28"/>
          <w:szCs w:val="28"/>
        </w:rPr>
        <w:t>Continuity Options for WIL</w:t>
      </w:r>
    </w:p>
    <w:p w14:paraId="6ABB3830" w14:textId="45F104AE" w:rsidR="000129D5" w:rsidRDefault="000129D5" w:rsidP="007273E0">
      <w:pPr>
        <w:pStyle w:val="Heading1"/>
        <w:spacing w:before="0"/>
      </w:pPr>
      <w:r>
        <w:lastRenderedPageBreak/>
        <w:t>WIL Continuity – Decision Tree</w:t>
      </w:r>
    </w:p>
    <w:p w14:paraId="4A4D60FA" w14:textId="77777777" w:rsidR="007273E0" w:rsidRPr="007273E0" w:rsidRDefault="007273E0" w:rsidP="007273E0"/>
    <w:p w14:paraId="2B677556" w14:textId="77777777" w:rsidR="000129D5" w:rsidRPr="003731B2" w:rsidRDefault="000129D5" w:rsidP="007273E0">
      <w:pPr>
        <w:rPr>
          <w:sz w:val="22"/>
        </w:rPr>
      </w:pPr>
      <w:r w:rsidRPr="003731B2">
        <w:rPr>
          <w:sz w:val="22"/>
        </w:rPr>
        <w:t>Where possible, it is preferable to keep WIL opportunities as close to what was designed/advertised as possible. However, in recognition that it might not be possible to do so, the following decision tree may help you to determine which options should be considered first.</w:t>
      </w:r>
    </w:p>
    <w:p w14:paraId="7FC6FE14" w14:textId="00EAE993" w:rsidR="007C29D9" w:rsidRDefault="007273E0" w:rsidP="007273E0">
      <w:pPr>
        <w:jc w:val="center"/>
        <w:rPr>
          <w:rFonts w:ascii="Arial" w:hAnsi="Arial" w:cs="Arial"/>
          <w:color w:val="7F7F7F" w:themeColor="text1" w:themeTint="80"/>
        </w:rPr>
      </w:pPr>
      <w:r>
        <w:object w:dxaOrig="6576" w:dyaOrig="6985" w14:anchorId="6F5D5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3pt;height:319.7pt" o:ole="">
            <v:imagedata r:id="rId16" o:title=""/>
          </v:shape>
          <o:OLEObject Type="Embed" ProgID="Visio.Drawing.15" ShapeID="_x0000_i1025" DrawAspect="Content" ObjectID="_1647330324" r:id="rId17"/>
        </w:object>
      </w:r>
    </w:p>
    <w:p w14:paraId="645E3D9E" w14:textId="5BC41E1C" w:rsidR="00DD6D67" w:rsidRDefault="00DD6D67" w:rsidP="007273E0">
      <w:pPr>
        <w:pStyle w:val="Heading1"/>
        <w:spacing w:before="0"/>
      </w:pPr>
      <w:r w:rsidRPr="00035954">
        <w:t>Considerations:</w:t>
      </w:r>
    </w:p>
    <w:p w14:paraId="0DC400D0" w14:textId="77777777" w:rsidR="007273E0" w:rsidRPr="007273E0" w:rsidRDefault="007273E0" w:rsidP="007273E0"/>
    <w:p w14:paraId="0E6EB75C" w14:textId="77777777" w:rsidR="00DD6D67" w:rsidRDefault="00DD6D67" w:rsidP="007273E0">
      <w:r w:rsidRPr="003447E9">
        <w:rPr>
          <w:sz w:val="22"/>
        </w:rPr>
        <w:t>In selecting an option that works for each program, you should consider the following:</w:t>
      </w:r>
    </w:p>
    <w:p w14:paraId="487CF98C" w14:textId="77777777" w:rsidR="00DD6D67" w:rsidRDefault="00DD6D67" w:rsidP="007273E0">
      <w:pPr>
        <w:pStyle w:val="ListParagraph"/>
        <w:numPr>
          <w:ilvl w:val="0"/>
          <w:numId w:val="7"/>
        </w:numPr>
      </w:pPr>
      <w:r>
        <w:t>Does the program have an accreditation process? If so, ensure any changes to WIL hours do not impact accreditation.</w:t>
      </w:r>
    </w:p>
    <w:p w14:paraId="7D7E4161" w14:textId="11E7A466" w:rsidR="00DD6D67" w:rsidRDefault="003447E9" w:rsidP="007273E0">
      <w:pPr>
        <w:pStyle w:val="ListParagraph"/>
        <w:numPr>
          <w:ilvl w:val="0"/>
          <w:numId w:val="7"/>
        </w:numPr>
      </w:pPr>
      <w:r>
        <w:t>Could</w:t>
      </w:r>
      <w:r w:rsidR="00DD6D67">
        <w:t xml:space="preserve"> a postponed WIL experience impact study and/or co-op internship per</w:t>
      </w:r>
      <w:r>
        <w:t>mits for international students, i.e. will it alter break terms or lengthen the program? If so, reach out to the IEC for guidance</w:t>
      </w:r>
    </w:p>
    <w:p w14:paraId="6F9F180D" w14:textId="4013248A" w:rsidR="00DD6D67" w:rsidRDefault="00DD6D67" w:rsidP="007273E0">
      <w:pPr>
        <w:pStyle w:val="ListParagraph"/>
        <w:numPr>
          <w:ilvl w:val="0"/>
          <w:numId w:val="7"/>
        </w:numPr>
      </w:pPr>
      <w:r>
        <w:t>Is the WIL experience a pre-requisite for any subsequent courses?</w:t>
      </w:r>
      <w:r w:rsidR="003447E9">
        <w:t xml:space="preserve"> If so, consider scheduling and curriculum implications.</w:t>
      </w:r>
    </w:p>
    <w:p w14:paraId="314663F3" w14:textId="07B5BD6F" w:rsidR="003E61CC" w:rsidRDefault="00DD6D67" w:rsidP="003E61CC">
      <w:pPr>
        <w:pStyle w:val="ListParagraph"/>
        <w:numPr>
          <w:ilvl w:val="0"/>
          <w:numId w:val="7"/>
        </w:numPr>
      </w:pPr>
      <w:r>
        <w:t>Will there be enough placements/projects available in subsequent terms if two cohorts are participating in WIL experiences at the same time?</w:t>
      </w:r>
    </w:p>
    <w:p w14:paraId="6230FC67" w14:textId="03BCBEBF" w:rsidR="003E61CC" w:rsidRDefault="003E61CC" w:rsidP="003E61CC">
      <w:pPr>
        <w:pStyle w:val="ListParagraph"/>
        <w:numPr>
          <w:ilvl w:val="0"/>
          <w:numId w:val="7"/>
        </w:numPr>
      </w:pPr>
      <w:r>
        <w:t>Are there any security or privacy concerns that should be considered with a modified and/or virtual</w:t>
      </w:r>
      <w:bookmarkStart w:id="0" w:name="_GoBack"/>
      <w:bookmarkEnd w:id="0"/>
      <w:r>
        <w:t xml:space="preserve"> delivery method?</w:t>
      </w:r>
    </w:p>
    <w:p w14:paraId="4A8166A3" w14:textId="51385B6D" w:rsidR="00DD6D67" w:rsidRDefault="00DD6D67" w:rsidP="007273E0">
      <w:pPr>
        <w:pStyle w:val="Heading1"/>
        <w:spacing w:before="0"/>
      </w:pPr>
      <w:r w:rsidRPr="00035954">
        <w:lastRenderedPageBreak/>
        <w:t>Thinking Outside of the Box</w:t>
      </w:r>
    </w:p>
    <w:p w14:paraId="7A1842C8" w14:textId="77777777" w:rsidR="007273E0" w:rsidRPr="007273E0" w:rsidRDefault="007273E0" w:rsidP="007273E0"/>
    <w:p w14:paraId="614B5B32" w14:textId="502EE06A" w:rsidR="00DD6D67" w:rsidRPr="003731B2" w:rsidRDefault="00DD6D67" w:rsidP="007273E0">
      <w:pPr>
        <w:rPr>
          <w:rFonts w:cstheme="minorHAnsi"/>
          <w:sz w:val="22"/>
        </w:rPr>
      </w:pPr>
      <w:r w:rsidRPr="003731B2">
        <w:rPr>
          <w:rFonts w:cstheme="minorHAnsi"/>
          <w:sz w:val="22"/>
        </w:rPr>
        <w:t>Facilitating WIL experience</w:t>
      </w:r>
      <w:r w:rsidR="003731B2" w:rsidRPr="003731B2">
        <w:rPr>
          <w:rFonts w:cstheme="minorHAnsi"/>
          <w:sz w:val="22"/>
        </w:rPr>
        <w:t>s</w:t>
      </w:r>
      <w:r w:rsidRPr="003731B2">
        <w:rPr>
          <w:rFonts w:cstheme="minorHAnsi"/>
          <w:sz w:val="22"/>
        </w:rPr>
        <w:t xml:space="preserve"> during COVID – 19 may require creativity as well as flexibility. Our own experiences over the last three weeks have shown that many things can be conducted virtually. A few suggestions of how to adapt WIL to this situation are as follows:</w:t>
      </w:r>
    </w:p>
    <w:p w14:paraId="22F68128" w14:textId="77777777" w:rsidR="00DD6D67" w:rsidRPr="003731B2" w:rsidRDefault="00DD6D67" w:rsidP="007273E0">
      <w:pPr>
        <w:pStyle w:val="ListParagraph"/>
        <w:numPr>
          <w:ilvl w:val="0"/>
          <w:numId w:val="8"/>
        </w:numPr>
        <w:rPr>
          <w:rFonts w:cstheme="minorHAnsi"/>
          <w:szCs w:val="24"/>
        </w:rPr>
      </w:pPr>
      <w:r w:rsidRPr="003731B2">
        <w:rPr>
          <w:rFonts w:cstheme="minorHAnsi"/>
          <w:szCs w:val="24"/>
        </w:rPr>
        <w:t>Consider companies that are doing well or need extra help during this time, e.g. Food Box delivery companies, laboratories and public health campaigns.</w:t>
      </w:r>
    </w:p>
    <w:p w14:paraId="65C595E6" w14:textId="77777777" w:rsidR="00DD6D67" w:rsidRPr="003731B2" w:rsidRDefault="00DD6D67" w:rsidP="007273E0">
      <w:pPr>
        <w:pStyle w:val="ListParagraph"/>
        <w:numPr>
          <w:ilvl w:val="0"/>
          <w:numId w:val="8"/>
        </w:numPr>
        <w:rPr>
          <w:rFonts w:cstheme="minorHAnsi"/>
          <w:szCs w:val="24"/>
        </w:rPr>
      </w:pPr>
      <w:r w:rsidRPr="003731B2">
        <w:rPr>
          <w:rFonts w:cstheme="minorHAnsi"/>
          <w:szCs w:val="24"/>
        </w:rPr>
        <w:t>Could face-to-face activities can be delivered virtually, i.e. virtual circle time for young children, or virtual fitness classes or coaching?</w:t>
      </w:r>
    </w:p>
    <w:p w14:paraId="68148580" w14:textId="77777777" w:rsidR="00DD6D67" w:rsidRPr="003731B2" w:rsidRDefault="00DD6D67" w:rsidP="007273E0">
      <w:pPr>
        <w:pStyle w:val="ListParagraph"/>
        <w:numPr>
          <w:ilvl w:val="0"/>
          <w:numId w:val="8"/>
        </w:numPr>
        <w:rPr>
          <w:rFonts w:cstheme="minorHAnsi"/>
          <w:szCs w:val="24"/>
        </w:rPr>
      </w:pPr>
      <w:r w:rsidRPr="003731B2">
        <w:rPr>
          <w:rFonts w:cstheme="minorHAnsi"/>
          <w:szCs w:val="24"/>
        </w:rPr>
        <w:t>Could event-based WIL be planned and delivered virtually?</w:t>
      </w:r>
    </w:p>
    <w:p w14:paraId="76525D62" w14:textId="77777777" w:rsidR="00DD6D67" w:rsidRPr="003731B2" w:rsidRDefault="00DD6D67" w:rsidP="007273E0">
      <w:pPr>
        <w:pStyle w:val="ListParagraph"/>
        <w:numPr>
          <w:ilvl w:val="0"/>
          <w:numId w:val="8"/>
        </w:numPr>
        <w:rPr>
          <w:rFonts w:cstheme="minorHAnsi"/>
          <w:szCs w:val="24"/>
        </w:rPr>
      </w:pPr>
      <w:r w:rsidRPr="003731B2">
        <w:rPr>
          <w:rFonts w:cstheme="minorHAnsi"/>
          <w:szCs w:val="24"/>
        </w:rPr>
        <w:t>Consider how students can help struggling small businesses using their training and skills, e.g. social media marketing plans, multimedia design, etc.</w:t>
      </w:r>
    </w:p>
    <w:p w14:paraId="0E58EC0F" w14:textId="1EBB6BCA" w:rsidR="007273E0" w:rsidRPr="003731B2" w:rsidRDefault="00DD6D67" w:rsidP="007273E0">
      <w:pPr>
        <w:pStyle w:val="ListParagraph"/>
        <w:numPr>
          <w:ilvl w:val="0"/>
          <w:numId w:val="8"/>
        </w:numPr>
        <w:rPr>
          <w:rFonts w:cstheme="minorHAnsi"/>
          <w:szCs w:val="24"/>
        </w:rPr>
      </w:pPr>
      <w:r w:rsidRPr="003731B2">
        <w:rPr>
          <w:rFonts w:cstheme="minorHAnsi"/>
          <w:szCs w:val="24"/>
        </w:rPr>
        <w:t xml:space="preserve">Consider using a tool such as </w:t>
      </w:r>
      <w:hyperlink r:id="rId18" w:history="1">
        <w:proofErr w:type="spellStart"/>
        <w:r w:rsidRPr="003731B2">
          <w:rPr>
            <w:rStyle w:val="Hyperlink"/>
            <w:rFonts w:cstheme="minorHAnsi"/>
            <w:color w:val="005A38"/>
            <w:szCs w:val="24"/>
          </w:rPr>
          <w:t>Riipen</w:t>
        </w:r>
        <w:proofErr w:type="spellEnd"/>
      </w:hyperlink>
      <w:r w:rsidRPr="003731B2">
        <w:rPr>
          <w:rFonts w:cstheme="minorHAnsi"/>
          <w:szCs w:val="24"/>
        </w:rPr>
        <w:t xml:space="preserve"> to help engage employers and facilitate virtual placements or project opportunities. </w:t>
      </w:r>
    </w:p>
    <w:p w14:paraId="3FCEADA7" w14:textId="503CF5B5" w:rsidR="00DD6D67" w:rsidRDefault="003447E9" w:rsidP="007273E0">
      <w:pPr>
        <w:pStyle w:val="Heading1"/>
        <w:spacing w:before="0"/>
      </w:pPr>
      <w:r>
        <w:t xml:space="preserve">Difference </w:t>
      </w:r>
      <w:proofErr w:type="gramStart"/>
      <w:r>
        <w:t>Between</w:t>
      </w:r>
      <w:proofErr w:type="gramEnd"/>
      <w:r>
        <w:t xml:space="preserve"> WIL and </w:t>
      </w:r>
      <w:r w:rsidR="00DD6D67">
        <w:t>Experiential Learning</w:t>
      </w:r>
    </w:p>
    <w:p w14:paraId="3DDDCBE8" w14:textId="77777777" w:rsidR="007273E0" w:rsidRPr="007273E0" w:rsidRDefault="007273E0" w:rsidP="007273E0"/>
    <w:p w14:paraId="76E8AB7E" w14:textId="40E2B036" w:rsidR="00DD6D67" w:rsidRPr="003731B2" w:rsidRDefault="00DD6D67" w:rsidP="007273E0">
      <w:pPr>
        <w:shd w:val="clear" w:color="auto" w:fill="FFFFFF"/>
        <w:textAlignment w:val="top"/>
        <w:rPr>
          <w:rFonts w:cstheme="minorHAnsi"/>
          <w:color w:val="005A38"/>
          <w:sz w:val="22"/>
          <w:shd w:val="clear" w:color="auto" w:fill="FFFFFF"/>
        </w:rPr>
      </w:pPr>
      <w:r w:rsidRPr="003731B2">
        <w:rPr>
          <w:rFonts w:cstheme="minorHAnsi"/>
          <w:sz w:val="22"/>
          <w:shd w:val="clear" w:color="auto" w:fill="FFFFFF"/>
        </w:rPr>
        <w:t xml:space="preserve">Although work-integrated and experiential learning are often used interchangeably, there are distinct differences with experiential learning representing a boarder subset of learning experiences that include simulated activities and projects and work-integrated learning referring to more specific experience with employers and/or clients. The diagram below depicts the relationship between experiential and work-integrated learning. </w:t>
      </w:r>
      <w:r w:rsidRPr="003731B2">
        <w:rPr>
          <w:rFonts w:cstheme="minorHAnsi"/>
          <w:b/>
          <w:color w:val="005A38"/>
          <w:sz w:val="22"/>
          <w:shd w:val="clear" w:color="auto" w:fill="FFFFFF"/>
        </w:rPr>
        <w:t>Although Algonquin has focused on ensuring students have at least one WIL experience</w:t>
      </w:r>
      <w:r w:rsidR="003731B2" w:rsidRPr="003731B2">
        <w:rPr>
          <w:rFonts w:cstheme="minorHAnsi"/>
          <w:b/>
          <w:color w:val="005A38"/>
          <w:sz w:val="22"/>
          <w:shd w:val="clear" w:color="auto" w:fill="FFFFFF"/>
        </w:rPr>
        <w:t xml:space="preserve">, it may be necessary or </w:t>
      </w:r>
      <w:r w:rsidRPr="003731B2">
        <w:rPr>
          <w:rFonts w:cstheme="minorHAnsi"/>
          <w:b/>
          <w:color w:val="005A38"/>
          <w:sz w:val="22"/>
          <w:shd w:val="clear" w:color="auto" w:fill="FFFFFF"/>
        </w:rPr>
        <w:t>preferable in the spring/summer term to consider broader experiential learning opportunities for some or all students.</w:t>
      </w:r>
    </w:p>
    <w:p w14:paraId="4487D745" w14:textId="2D547F96" w:rsidR="00DD6D67" w:rsidRDefault="00DD6D67" w:rsidP="007273E0">
      <w:pPr>
        <w:rPr>
          <w:rFonts w:ascii="Arial" w:hAnsi="Arial" w:cs="Arial"/>
          <w:color w:val="7F7F7F" w:themeColor="text1" w:themeTint="80"/>
        </w:rPr>
      </w:pPr>
    </w:p>
    <w:p w14:paraId="1DAF68B9" w14:textId="7FB39BA3" w:rsidR="00DD6D67" w:rsidRDefault="00DD6D67" w:rsidP="007273E0">
      <w:pPr>
        <w:jc w:val="center"/>
        <w:rPr>
          <w:rFonts w:ascii="Arial" w:hAnsi="Arial" w:cs="Arial"/>
          <w:color w:val="7F7F7F" w:themeColor="text1" w:themeTint="80"/>
        </w:rPr>
      </w:pPr>
      <w:r>
        <w:rPr>
          <w:noProof/>
        </w:rPr>
        <w:drawing>
          <wp:inline distT="0" distB="0" distL="0" distR="0" wp14:anchorId="617B56EE" wp14:editId="49D2BEB3">
            <wp:extent cx="4032948" cy="2890157"/>
            <wp:effectExtent l="0" t="0" r="5715" b="5715"/>
            <wp:docPr id="2" name="Picture 2" descr="https://www.algonquincollege.com/el/files/2019/04/WIL-v.-EL-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gonquincollege.com/el/files/2019/04/WIL-v.-EL-Diagra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6972" cy="2993370"/>
                    </a:xfrm>
                    <a:prstGeom prst="rect">
                      <a:avLst/>
                    </a:prstGeom>
                    <a:noFill/>
                    <a:ln>
                      <a:noFill/>
                    </a:ln>
                  </pic:spPr>
                </pic:pic>
              </a:graphicData>
            </a:graphic>
          </wp:inline>
        </w:drawing>
      </w:r>
    </w:p>
    <w:p w14:paraId="15AD1812" w14:textId="77777777" w:rsidR="00DD6D67" w:rsidRDefault="00DD6D67" w:rsidP="007273E0">
      <w:pPr>
        <w:pStyle w:val="Heading1"/>
        <w:spacing w:before="0"/>
      </w:pPr>
      <w:r>
        <w:lastRenderedPageBreak/>
        <w:t>Experiential Learning Checklist</w:t>
      </w:r>
    </w:p>
    <w:p w14:paraId="2C812E0D" w14:textId="77777777" w:rsidR="00DD6D67" w:rsidRDefault="00DD6D67" w:rsidP="007273E0"/>
    <w:p w14:paraId="72D07572" w14:textId="6E433D24" w:rsidR="00DD6D67" w:rsidRPr="003731B2" w:rsidRDefault="00DD6D67" w:rsidP="007273E0">
      <w:pPr>
        <w:rPr>
          <w:rFonts w:cstheme="minorHAnsi"/>
          <w:sz w:val="22"/>
        </w:rPr>
      </w:pPr>
      <w:r w:rsidRPr="003731B2">
        <w:rPr>
          <w:rFonts w:cstheme="minorHAnsi"/>
          <w:sz w:val="22"/>
        </w:rPr>
        <w:t xml:space="preserve">When altering WIL experiences, it is important to ensure the new offering continues to meet the six elements of the </w:t>
      </w:r>
      <w:hyperlink r:id="rId20" w:history="1">
        <w:r w:rsidRPr="003447E9">
          <w:rPr>
            <w:rStyle w:val="Hyperlink"/>
            <w:rFonts w:cstheme="minorHAnsi"/>
            <w:color w:val="005A38"/>
            <w:sz w:val="22"/>
          </w:rPr>
          <w:t>MTCU’s experiential learning checklist</w:t>
        </w:r>
      </w:hyperlink>
      <w:r w:rsidRPr="003731B2">
        <w:rPr>
          <w:rFonts w:cstheme="minorHAnsi"/>
          <w:sz w:val="22"/>
        </w:rPr>
        <w:t>:</w:t>
      </w:r>
    </w:p>
    <w:p w14:paraId="450A0BE2" w14:textId="77777777" w:rsidR="00DD6D67" w:rsidRPr="00496661" w:rsidRDefault="00DD6D67" w:rsidP="007273E0">
      <w:pPr>
        <w:rPr>
          <w:rFonts w:cstheme="minorHAnsi"/>
        </w:rPr>
      </w:pPr>
    </w:p>
    <w:p w14:paraId="4236969E" w14:textId="77777777" w:rsidR="00DD6D67" w:rsidRPr="00DD6D67" w:rsidRDefault="00DD6D67" w:rsidP="007273E0">
      <w:pPr>
        <w:numPr>
          <w:ilvl w:val="0"/>
          <w:numId w:val="11"/>
        </w:numPr>
        <w:shd w:val="clear" w:color="auto" w:fill="FFFFFF"/>
        <w:spacing w:after="90"/>
        <w:textAlignment w:val="top"/>
        <w:rPr>
          <w:rFonts w:eastAsia="Times New Roman" w:cstheme="minorHAnsi"/>
          <w:b/>
          <w:color w:val="005A38"/>
        </w:rPr>
      </w:pPr>
      <w:r w:rsidRPr="00DD6D67">
        <w:rPr>
          <w:rFonts w:eastAsia="Times New Roman" w:cstheme="minorHAnsi"/>
          <w:b/>
          <w:color w:val="005A38"/>
        </w:rPr>
        <w:t>The student is in a workplace or simulated workplace.</w:t>
      </w:r>
    </w:p>
    <w:p w14:paraId="433CFD25" w14:textId="77777777" w:rsidR="00DD6D67" w:rsidRPr="00DD6D67" w:rsidRDefault="00DD6D67" w:rsidP="007273E0">
      <w:pPr>
        <w:numPr>
          <w:ilvl w:val="0"/>
          <w:numId w:val="11"/>
        </w:numPr>
        <w:shd w:val="clear" w:color="auto" w:fill="FFFFFF"/>
        <w:spacing w:after="90"/>
        <w:textAlignment w:val="top"/>
        <w:rPr>
          <w:rFonts w:eastAsia="Times New Roman" w:cstheme="minorHAnsi"/>
          <w:b/>
          <w:color w:val="005A38"/>
        </w:rPr>
      </w:pPr>
      <w:r w:rsidRPr="00DD6D67">
        <w:rPr>
          <w:rFonts w:eastAsia="Times New Roman" w:cstheme="minorHAnsi"/>
          <w:b/>
          <w:color w:val="005A38"/>
        </w:rPr>
        <w:t>The student is exposed to authentic demands that improve their job-ready skills, interpersonal skills, and transition to the workforce.</w:t>
      </w:r>
    </w:p>
    <w:p w14:paraId="15C854CD" w14:textId="77777777" w:rsidR="00DD6D67" w:rsidRPr="00DD6D67" w:rsidRDefault="00DD6D67" w:rsidP="007273E0">
      <w:pPr>
        <w:numPr>
          <w:ilvl w:val="0"/>
          <w:numId w:val="11"/>
        </w:numPr>
        <w:shd w:val="clear" w:color="auto" w:fill="FFFFFF"/>
        <w:spacing w:after="90"/>
        <w:textAlignment w:val="top"/>
        <w:rPr>
          <w:rFonts w:eastAsia="Times New Roman" w:cstheme="minorHAnsi"/>
          <w:b/>
          <w:color w:val="005A38"/>
        </w:rPr>
      </w:pPr>
      <w:r w:rsidRPr="00DD6D67">
        <w:rPr>
          <w:rFonts w:eastAsia="Times New Roman" w:cstheme="minorHAnsi"/>
          <w:b/>
          <w:color w:val="005A38"/>
        </w:rPr>
        <w:t>The experience is structured with purposeful and meaningful activities.</w:t>
      </w:r>
    </w:p>
    <w:p w14:paraId="416A0694" w14:textId="77777777" w:rsidR="00DD6D67" w:rsidRPr="00DD6D67" w:rsidRDefault="00DD6D67" w:rsidP="007273E0">
      <w:pPr>
        <w:numPr>
          <w:ilvl w:val="0"/>
          <w:numId w:val="11"/>
        </w:numPr>
        <w:shd w:val="clear" w:color="auto" w:fill="FFFFFF"/>
        <w:spacing w:after="90"/>
        <w:textAlignment w:val="top"/>
        <w:rPr>
          <w:rFonts w:eastAsia="Times New Roman" w:cstheme="minorHAnsi"/>
          <w:b/>
          <w:color w:val="005A38"/>
        </w:rPr>
      </w:pPr>
      <w:r w:rsidRPr="00DD6D67">
        <w:rPr>
          <w:rFonts w:eastAsia="Times New Roman" w:cstheme="minorHAnsi"/>
          <w:b/>
          <w:color w:val="005A38"/>
        </w:rPr>
        <w:t>The student applies university or college program knowledge and/or essential employability skills.</w:t>
      </w:r>
    </w:p>
    <w:p w14:paraId="1B8B27E5" w14:textId="77777777" w:rsidR="00DD6D67" w:rsidRPr="00DD6D67" w:rsidRDefault="00DD6D67" w:rsidP="007273E0">
      <w:pPr>
        <w:numPr>
          <w:ilvl w:val="0"/>
          <w:numId w:val="11"/>
        </w:numPr>
        <w:shd w:val="clear" w:color="auto" w:fill="FFFFFF"/>
        <w:spacing w:after="90"/>
        <w:textAlignment w:val="top"/>
        <w:rPr>
          <w:rFonts w:eastAsia="Times New Roman" w:cstheme="minorHAnsi"/>
          <w:b/>
          <w:color w:val="005A38"/>
        </w:rPr>
      </w:pPr>
      <w:r w:rsidRPr="00DD6D67">
        <w:rPr>
          <w:rFonts w:eastAsia="Times New Roman" w:cstheme="minorHAnsi"/>
          <w:b/>
          <w:color w:val="005A38"/>
        </w:rPr>
        <w:t>The experience includes student self-assessment and evaluation of the student's performance and learning outcomes by the employer and/or university/college.</w:t>
      </w:r>
    </w:p>
    <w:p w14:paraId="6E12C212" w14:textId="68D544EE" w:rsidR="00DD6D67" w:rsidRPr="00E61F32" w:rsidRDefault="00DD6D67" w:rsidP="007273E0">
      <w:pPr>
        <w:numPr>
          <w:ilvl w:val="0"/>
          <w:numId w:val="11"/>
        </w:numPr>
        <w:shd w:val="clear" w:color="auto" w:fill="FFFFFF"/>
        <w:textAlignment w:val="top"/>
        <w:rPr>
          <w:rFonts w:eastAsia="Times New Roman" w:cstheme="minorHAnsi"/>
          <w:b/>
          <w:color w:val="005A38"/>
        </w:rPr>
      </w:pPr>
      <w:r w:rsidRPr="00DD6D67">
        <w:rPr>
          <w:rFonts w:eastAsia="Times New Roman" w:cstheme="minorHAnsi"/>
          <w:b/>
          <w:color w:val="005A38"/>
        </w:rPr>
        <w:t>The experience counts towards course credit or credential completion </w:t>
      </w:r>
      <w:r w:rsidRPr="00DD6D67">
        <w:rPr>
          <w:rFonts w:eastAsia="Times New Roman" w:cstheme="minorHAnsi"/>
          <w:b/>
          <w:bCs/>
          <w:color w:val="005A38"/>
          <w:bdr w:val="none" w:sz="0" w:space="0" w:color="auto" w:frame="1"/>
        </w:rPr>
        <w:t>OR</w:t>
      </w:r>
      <w:r w:rsidRPr="00DD6D67">
        <w:rPr>
          <w:rFonts w:eastAsia="Times New Roman" w:cstheme="minorHAnsi"/>
          <w:b/>
          <w:color w:val="005A38"/>
        </w:rPr>
        <w:t> is formally recognized by the college or university as meeting the five criteria above.</w:t>
      </w:r>
      <w:r w:rsidR="00E61F32">
        <w:rPr>
          <w:rFonts w:eastAsia="Times New Roman" w:cstheme="minorHAnsi"/>
          <w:b/>
          <w:color w:val="005A38"/>
        </w:rPr>
        <w:br/>
      </w:r>
    </w:p>
    <w:p w14:paraId="2884690D" w14:textId="51134A95" w:rsidR="00DD6D67" w:rsidRDefault="00DD6D67" w:rsidP="007273E0">
      <w:pPr>
        <w:pStyle w:val="Heading1"/>
        <w:spacing w:before="0"/>
      </w:pPr>
      <w:r>
        <w:t xml:space="preserve">Support for Virtual WIL Projects and Internships through </w:t>
      </w:r>
      <w:proofErr w:type="spellStart"/>
      <w:r>
        <w:t>Riipen</w:t>
      </w:r>
      <w:proofErr w:type="spellEnd"/>
    </w:p>
    <w:p w14:paraId="0F86B2B3" w14:textId="77777777" w:rsidR="00DD6D67" w:rsidRDefault="00DD6D67" w:rsidP="007273E0"/>
    <w:p w14:paraId="6E2EEAB1" w14:textId="10930A60" w:rsidR="007273E0" w:rsidRPr="003731B2" w:rsidRDefault="007273E0" w:rsidP="007273E0">
      <w:pPr>
        <w:rPr>
          <w:sz w:val="22"/>
        </w:rPr>
      </w:pPr>
      <w:r w:rsidRPr="003731B2">
        <w:rPr>
          <w:sz w:val="22"/>
        </w:rPr>
        <w:t xml:space="preserve">If a program requires assistance to engage employers or community partners, you may want to consider </w:t>
      </w:r>
      <w:hyperlink r:id="rId21" w:history="1">
        <w:proofErr w:type="spellStart"/>
        <w:r w:rsidR="00DD6D67" w:rsidRPr="003731B2">
          <w:rPr>
            <w:rStyle w:val="Hyperlink"/>
            <w:color w:val="005A38"/>
            <w:sz w:val="22"/>
          </w:rPr>
          <w:t>Riipen</w:t>
        </w:r>
        <w:proofErr w:type="spellEnd"/>
      </w:hyperlink>
      <w:r w:rsidRPr="003731B2">
        <w:rPr>
          <w:rStyle w:val="Hyperlink"/>
          <w:color w:val="005A38"/>
          <w:sz w:val="22"/>
        </w:rPr>
        <w:t>.</w:t>
      </w:r>
      <w:r w:rsidRPr="003731B2">
        <w:rPr>
          <w:rStyle w:val="Hyperlink"/>
          <w:color w:val="auto"/>
          <w:sz w:val="22"/>
          <w:u w:val="none"/>
        </w:rPr>
        <w:t xml:space="preserve"> </w:t>
      </w:r>
      <w:proofErr w:type="spellStart"/>
      <w:r w:rsidRPr="003731B2">
        <w:rPr>
          <w:rStyle w:val="Hyperlink"/>
          <w:color w:val="auto"/>
          <w:sz w:val="22"/>
          <w:u w:val="none"/>
        </w:rPr>
        <w:t>Riipen</w:t>
      </w:r>
      <w:proofErr w:type="spellEnd"/>
      <w:r w:rsidR="00DD6D67" w:rsidRPr="003731B2">
        <w:rPr>
          <w:sz w:val="22"/>
        </w:rPr>
        <w:t xml:space="preserve"> offers support for virtual WIL </w:t>
      </w:r>
      <w:r w:rsidRPr="003731B2">
        <w:rPr>
          <w:sz w:val="22"/>
        </w:rPr>
        <w:t xml:space="preserve">opportunities such as </w:t>
      </w:r>
      <w:r w:rsidR="00DD6D67" w:rsidRPr="003731B2">
        <w:rPr>
          <w:sz w:val="22"/>
        </w:rPr>
        <w:t>internships and field p</w:t>
      </w:r>
      <w:r w:rsidRPr="003731B2">
        <w:rPr>
          <w:sz w:val="22"/>
        </w:rPr>
        <w:t xml:space="preserve">rojects. </w:t>
      </w:r>
      <w:proofErr w:type="spellStart"/>
      <w:r w:rsidRPr="003731B2">
        <w:rPr>
          <w:sz w:val="22"/>
        </w:rPr>
        <w:t>Riipen</w:t>
      </w:r>
      <w:proofErr w:type="spellEnd"/>
      <w:r w:rsidRPr="003731B2">
        <w:rPr>
          <w:sz w:val="22"/>
        </w:rPr>
        <w:t xml:space="preserve"> helps</w:t>
      </w:r>
      <w:r w:rsidR="00DD6D67" w:rsidRPr="003731B2">
        <w:rPr>
          <w:sz w:val="22"/>
        </w:rPr>
        <w:t xml:space="preserve"> both </w:t>
      </w:r>
      <w:r w:rsidR="003731B2" w:rsidRPr="003731B2">
        <w:rPr>
          <w:sz w:val="22"/>
        </w:rPr>
        <w:t xml:space="preserve">to </w:t>
      </w:r>
      <w:r w:rsidR="00DD6D67" w:rsidRPr="003731B2">
        <w:rPr>
          <w:sz w:val="22"/>
        </w:rPr>
        <w:t xml:space="preserve">find employer partners, and to provide a platform on which students can interact with employer partners. </w:t>
      </w:r>
    </w:p>
    <w:p w14:paraId="69726FBF" w14:textId="77777777" w:rsidR="007273E0" w:rsidRPr="003731B2" w:rsidRDefault="007273E0" w:rsidP="007273E0">
      <w:pPr>
        <w:rPr>
          <w:sz w:val="22"/>
        </w:rPr>
      </w:pPr>
    </w:p>
    <w:p w14:paraId="39EDD546" w14:textId="2DBDE7CD" w:rsidR="00DD6D67" w:rsidRPr="003731B2" w:rsidRDefault="00DD6D67" w:rsidP="007273E0">
      <w:pPr>
        <w:rPr>
          <w:sz w:val="22"/>
        </w:rPr>
      </w:pPr>
      <w:proofErr w:type="spellStart"/>
      <w:r w:rsidRPr="003731B2">
        <w:rPr>
          <w:sz w:val="22"/>
        </w:rPr>
        <w:t>Riipen</w:t>
      </w:r>
      <w:proofErr w:type="spellEnd"/>
      <w:r w:rsidRPr="003731B2">
        <w:rPr>
          <w:sz w:val="22"/>
        </w:rPr>
        <w:t xml:space="preserve"> has indicated that they will make their service available free of charge for the Spring/Summer</w:t>
      </w:r>
      <w:r w:rsidR="007273E0" w:rsidRPr="003731B2">
        <w:rPr>
          <w:sz w:val="22"/>
        </w:rPr>
        <w:t xml:space="preserve"> term</w:t>
      </w:r>
      <w:r w:rsidRPr="003731B2">
        <w:rPr>
          <w:sz w:val="22"/>
        </w:rPr>
        <w:t xml:space="preserve">. If you are interested in more information about </w:t>
      </w:r>
      <w:proofErr w:type="spellStart"/>
      <w:r w:rsidRPr="003731B2">
        <w:rPr>
          <w:sz w:val="22"/>
        </w:rPr>
        <w:t>Riipen</w:t>
      </w:r>
      <w:proofErr w:type="spellEnd"/>
      <w:r w:rsidRPr="003731B2">
        <w:rPr>
          <w:sz w:val="22"/>
        </w:rPr>
        <w:t xml:space="preserve">, please reach out to Jessica at </w:t>
      </w:r>
      <w:hyperlink r:id="rId22" w:history="1">
        <w:r w:rsidRPr="003731B2">
          <w:rPr>
            <w:rStyle w:val="Hyperlink"/>
            <w:color w:val="005A38"/>
            <w:sz w:val="22"/>
          </w:rPr>
          <w:t>brownj1@algonquincollege.com</w:t>
        </w:r>
      </w:hyperlink>
      <w:r w:rsidRPr="003731B2">
        <w:rPr>
          <w:sz w:val="22"/>
        </w:rPr>
        <w:t xml:space="preserve"> to put you in touch with a </w:t>
      </w:r>
      <w:proofErr w:type="spellStart"/>
      <w:r w:rsidRPr="003731B2">
        <w:rPr>
          <w:sz w:val="22"/>
        </w:rPr>
        <w:t>Riipen</w:t>
      </w:r>
      <w:proofErr w:type="spellEnd"/>
      <w:r w:rsidRPr="003731B2">
        <w:rPr>
          <w:sz w:val="22"/>
        </w:rPr>
        <w:t xml:space="preserve"> representative.</w:t>
      </w:r>
    </w:p>
    <w:p w14:paraId="6DFF5AC8" w14:textId="12AF07FF" w:rsidR="00DD6D67" w:rsidRDefault="00DD6D67" w:rsidP="007273E0"/>
    <w:p w14:paraId="2B16385D" w14:textId="7C1203DC" w:rsidR="00E61F32" w:rsidRDefault="00E61F32" w:rsidP="007273E0">
      <w:pPr>
        <w:pStyle w:val="Heading1"/>
        <w:spacing w:before="0"/>
      </w:pPr>
      <w:r>
        <w:t>Additional Resources</w:t>
      </w:r>
    </w:p>
    <w:p w14:paraId="5A2B0DD9" w14:textId="77777777" w:rsidR="00E61F32" w:rsidRPr="00E61F32" w:rsidRDefault="00E61F32" w:rsidP="007273E0"/>
    <w:p w14:paraId="0E7D0F7F" w14:textId="6B583162" w:rsidR="00E61F32" w:rsidRDefault="00E61F32" w:rsidP="007273E0">
      <w:pPr>
        <w:pStyle w:val="ListParagraph"/>
        <w:numPr>
          <w:ilvl w:val="0"/>
          <w:numId w:val="10"/>
        </w:numPr>
      </w:pPr>
      <w:r>
        <w:t xml:space="preserve">Our Algonquin College </w:t>
      </w:r>
      <w:hyperlink r:id="rId23" w:history="1">
        <w:r w:rsidRPr="00091231">
          <w:rPr>
            <w:rStyle w:val="Hyperlink"/>
            <w:color w:val="005A38"/>
          </w:rPr>
          <w:t>experiential learning website</w:t>
        </w:r>
      </w:hyperlink>
      <w:r>
        <w:t xml:space="preserve"> has additional information about different kinds of WIL and experiential learning and best practices on how to design th</w:t>
      </w:r>
      <w:r w:rsidR="003731B2">
        <w:t>ese experiences.</w:t>
      </w:r>
    </w:p>
    <w:p w14:paraId="6D80955D" w14:textId="4F925DE4" w:rsidR="007273E0" w:rsidRPr="003731B2" w:rsidRDefault="009C0142" w:rsidP="007273E0">
      <w:pPr>
        <w:pStyle w:val="ListParagraph"/>
        <w:numPr>
          <w:ilvl w:val="0"/>
          <w:numId w:val="10"/>
        </w:numPr>
      </w:pPr>
      <w:hyperlink r:id="rId24" w:history="1">
        <w:r w:rsidR="00E61F32" w:rsidRPr="00091231">
          <w:rPr>
            <w:rStyle w:val="Hyperlink"/>
            <w:color w:val="005A38"/>
          </w:rPr>
          <w:t>Algonquin’s WIL Typology</w:t>
        </w:r>
      </w:hyperlink>
      <w:r w:rsidR="00E61F32">
        <w:t xml:space="preserve"> defines different types of WIL.</w:t>
      </w:r>
    </w:p>
    <w:p w14:paraId="29898F95" w14:textId="77777777" w:rsidR="003E61CC" w:rsidRDefault="003E61CC" w:rsidP="007273E0">
      <w:pPr>
        <w:pStyle w:val="Heading1"/>
        <w:spacing w:before="0"/>
        <w:rPr>
          <w:rFonts w:asciiTheme="minorHAnsi" w:hAnsiTheme="minorHAnsi" w:cstheme="minorHAnsi"/>
          <w:b w:val="0"/>
          <w:sz w:val="24"/>
        </w:rPr>
      </w:pPr>
    </w:p>
    <w:p w14:paraId="741BA143" w14:textId="34EAAA07" w:rsidR="00DD6D67" w:rsidRPr="003731B2" w:rsidRDefault="00DD6D67" w:rsidP="007273E0">
      <w:pPr>
        <w:pStyle w:val="Heading1"/>
        <w:spacing w:before="0"/>
        <w:rPr>
          <w:rFonts w:asciiTheme="minorHAnsi" w:hAnsiTheme="minorHAnsi" w:cstheme="minorHAnsi"/>
          <w:sz w:val="24"/>
        </w:rPr>
      </w:pPr>
      <w:r w:rsidRPr="003731B2">
        <w:rPr>
          <w:rFonts w:asciiTheme="minorHAnsi" w:hAnsiTheme="minorHAnsi" w:cstheme="minorHAnsi"/>
          <w:b w:val="0"/>
          <w:sz w:val="24"/>
        </w:rPr>
        <w:t>If you have any additional questions or would like to meet to discuss possible solutions, please contact Jessica Brown at</w:t>
      </w:r>
      <w:r w:rsidRPr="003731B2">
        <w:rPr>
          <w:rFonts w:asciiTheme="minorHAnsi" w:hAnsiTheme="minorHAnsi" w:cstheme="minorHAnsi"/>
          <w:sz w:val="24"/>
        </w:rPr>
        <w:t xml:space="preserve"> </w:t>
      </w:r>
      <w:hyperlink r:id="rId25" w:history="1">
        <w:r w:rsidRPr="003731B2">
          <w:rPr>
            <w:rStyle w:val="Hyperlink"/>
            <w:rFonts w:asciiTheme="minorHAnsi" w:hAnsiTheme="minorHAnsi" w:cstheme="minorHAnsi"/>
            <w:color w:val="005A38"/>
            <w:sz w:val="24"/>
          </w:rPr>
          <w:t>brownj1@algonquincollege.com</w:t>
        </w:r>
      </w:hyperlink>
      <w:r w:rsidRPr="003731B2">
        <w:rPr>
          <w:rFonts w:asciiTheme="minorHAnsi" w:hAnsiTheme="minorHAnsi" w:cstheme="minorHAnsi"/>
          <w:sz w:val="24"/>
        </w:rPr>
        <w:t xml:space="preserve">. </w:t>
      </w:r>
    </w:p>
    <w:p w14:paraId="30A88E9C" w14:textId="659EC21D" w:rsidR="007273E0" w:rsidRDefault="007273E0" w:rsidP="003731B2">
      <w:pPr>
        <w:rPr>
          <w:rFonts w:ascii="Arial" w:hAnsi="Arial" w:cs="Arial"/>
          <w:color w:val="7F7F7F" w:themeColor="text1" w:themeTint="80"/>
          <w:sz w:val="22"/>
        </w:rPr>
      </w:pPr>
    </w:p>
    <w:p w14:paraId="0A4D3203" w14:textId="77777777" w:rsidR="003E61CC" w:rsidRDefault="003E61CC" w:rsidP="007273E0">
      <w:pPr>
        <w:jc w:val="center"/>
        <w:rPr>
          <w:rFonts w:cstheme="minorHAnsi"/>
          <w:color w:val="7F7F7F" w:themeColor="text1" w:themeTint="80"/>
          <w:sz w:val="22"/>
        </w:rPr>
      </w:pPr>
    </w:p>
    <w:p w14:paraId="6AE0A999" w14:textId="1D561415" w:rsidR="00E61F32" w:rsidRPr="003731B2" w:rsidRDefault="00E61F32" w:rsidP="007273E0">
      <w:pPr>
        <w:jc w:val="center"/>
        <w:rPr>
          <w:rFonts w:cstheme="minorHAnsi"/>
          <w:color w:val="7F7F7F" w:themeColor="text1" w:themeTint="80"/>
          <w:sz w:val="22"/>
        </w:rPr>
      </w:pPr>
      <w:r w:rsidRPr="003731B2">
        <w:rPr>
          <w:rFonts w:cstheme="minorHAnsi"/>
          <w:color w:val="7F7F7F" w:themeColor="text1" w:themeTint="80"/>
          <w:sz w:val="22"/>
        </w:rPr>
        <w:t>-With thanks to George Brown College for sharing their resource that helped to inform this document-</w:t>
      </w:r>
    </w:p>
    <w:sectPr w:rsidR="00E61F32" w:rsidRPr="003731B2" w:rsidSect="003E61CC">
      <w:headerReference w:type="default" r:id="rId26"/>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38F0F" w14:textId="77777777" w:rsidR="009C0142" w:rsidRDefault="009C0142" w:rsidP="00693181">
      <w:r>
        <w:separator/>
      </w:r>
    </w:p>
  </w:endnote>
  <w:endnote w:type="continuationSeparator" w:id="0">
    <w:p w14:paraId="62595C85" w14:textId="77777777" w:rsidR="009C0142" w:rsidRDefault="009C0142" w:rsidP="0069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4C82" w14:textId="77777777" w:rsidR="009C0142" w:rsidRDefault="009C0142" w:rsidP="00693181">
      <w:r>
        <w:separator/>
      </w:r>
    </w:p>
  </w:footnote>
  <w:footnote w:type="continuationSeparator" w:id="0">
    <w:p w14:paraId="1C52CD10" w14:textId="77777777" w:rsidR="009C0142" w:rsidRDefault="009C0142" w:rsidP="0069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3D62" w14:textId="78ADEFEC" w:rsidR="00693181" w:rsidRDefault="00693181" w:rsidP="00693181">
    <w:pPr>
      <w:pStyle w:val="Header"/>
      <w:spacing w:after="360"/>
      <w:ind w:left="-907"/>
      <w:jc w:val="center"/>
    </w:pPr>
    <w:r>
      <w:rPr>
        <w:noProof/>
      </w:rPr>
      <w:drawing>
        <wp:inline distT="0" distB="0" distL="0" distR="0" wp14:anchorId="24DE47C6" wp14:editId="743FF9DF">
          <wp:extent cx="7116063" cy="108204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fesaver Header_cropped.pdf"/>
                  <pic:cNvPicPr/>
                </pic:nvPicPr>
                <pic:blipFill>
                  <a:blip r:embed="rId1">
                    <a:extLst>
                      <a:ext uri="{28A0092B-C50C-407E-A947-70E740481C1C}">
                        <a14:useLocalDpi xmlns:a14="http://schemas.microsoft.com/office/drawing/2010/main" val="0"/>
                      </a:ext>
                    </a:extLst>
                  </a:blip>
                  <a:stretch>
                    <a:fillRect/>
                  </a:stretch>
                </pic:blipFill>
                <pic:spPr>
                  <a:xfrm>
                    <a:off x="0" y="0"/>
                    <a:ext cx="7125572" cy="1083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4BF3"/>
    <w:multiLevelType w:val="hybridMultilevel"/>
    <w:tmpl w:val="B67E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39D5"/>
    <w:multiLevelType w:val="hybridMultilevel"/>
    <w:tmpl w:val="ABC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964A0"/>
    <w:multiLevelType w:val="hybridMultilevel"/>
    <w:tmpl w:val="115EBE0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78600F"/>
    <w:multiLevelType w:val="multilevel"/>
    <w:tmpl w:val="5106C45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84EFD"/>
    <w:multiLevelType w:val="hybridMultilevel"/>
    <w:tmpl w:val="F286AEA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4E7D20"/>
    <w:multiLevelType w:val="multilevel"/>
    <w:tmpl w:val="0932376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230E4"/>
    <w:multiLevelType w:val="hybridMultilevel"/>
    <w:tmpl w:val="B292FE08"/>
    <w:lvl w:ilvl="0" w:tplc="3676C73E">
      <w:start w:val="1"/>
      <w:numFmt w:val="bullet"/>
      <w:lvlText w:val="□"/>
      <w:lvlJc w:val="left"/>
      <w:pPr>
        <w:ind w:left="720" w:hanging="360"/>
      </w:pPr>
      <w:rPr>
        <w:rFonts w:ascii="Courier New" w:hAnsi="Courier New" w:hint="default"/>
      </w:rPr>
    </w:lvl>
    <w:lvl w:ilvl="1" w:tplc="3676C73E">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6181AFE"/>
    <w:multiLevelType w:val="hybridMultilevel"/>
    <w:tmpl w:val="536E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D1F55"/>
    <w:multiLevelType w:val="hybridMultilevel"/>
    <w:tmpl w:val="8370E12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FF5DBE"/>
    <w:multiLevelType w:val="hybridMultilevel"/>
    <w:tmpl w:val="0E6830F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C65A74"/>
    <w:multiLevelType w:val="hybridMultilevel"/>
    <w:tmpl w:val="97063F5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0"/>
  </w:num>
  <w:num w:numId="5">
    <w:abstractNumId w:val="4"/>
  </w:num>
  <w:num w:numId="6">
    <w:abstractNumId w:val="6"/>
  </w:num>
  <w:num w:numId="7">
    <w:abstractNumId w:val="1"/>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83"/>
    <w:rsid w:val="000129D5"/>
    <w:rsid w:val="0001707E"/>
    <w:rsid w:val="00091231"/>
    <w:rsid w:val="000C4383"/>
    <w:rsid w:val="00116689"/>
    <w:rsid w:val="001204BE"/>
    <w:rsid w:val="00213364"/>
    <w:rsid w:val="00283A8E"/>
    <w:rsid w:val="003447E9"/>
    <w:rsid w:val="003731B2"/>
    <w:rsid w:val="003E61CC"/>
    <w:rsid w:val="005823CC"/>
    <w:rsid w:val="006001E8"/>
    <w:rsid w:val="00674405"/>
    <w:rsid w:val="00693181"/>
    <w:rsid w:val="007273E0"/>
    <w:rsid w:val="007C29D9"/>
    <w:rsid w:val="00865752"/>
    <w:rsid w:val="009C0142"/>
    <w:rsid w:val="009F6FCA"/>
    <w:rsid w:val="00A44684"/>
    <w:rsid w:val="00CB3B03"/>
    <w:rsid w:val="00DD6D67"/>
    <w:rsid w:val="00E15F38"/>
    <w:rsid w:val="00E61F32"/>
    <w:rsid w:val="00F8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B8FC"/>
  <w15:chartTrackingRefBased/>
  <w15:docId w15:val="{F2FE5591-4D3B-7544-8872-2F5423C5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9D5"/>
    <w:pPr>
      <w:keepNext/>
      <w:keepLines/>
      <w:spacing w:before="240" w:line="259" w:lineRule="auto"/>
      <w:outlineLvl w:val="0"/>
    </w:pPr>
    <w:rPr>
      <w:rFonts w:ascii="Arial" w:hAnsi="Arial" w:cs="Arial"/>
      <w:b/>
      <w:color w:val="005A38"/>
      <w:sz w:val="28"/>
      <w:szCs w:val="28"/>
    </w:rPr>
  </w:style>
  <w:style w:type="paragraph" w:styleId="Heading2">
    <w:name w:val="heading 2"/>
    <w:basedOn w:val="Normal"/>
    <w:next w:val="Normal"/>
    <w:link w:val="Heading2Char"/>
    <w:uiPriority w:val="9"/>
    <w:semiHidden/>
    <w:unhideWhenUsed/>
    <w:qFormat/>
    <w:rsid w:val="000129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81"/>
    <w:pPr>
      <w:tabs>
        <w:tab w:val="center" w:pos="4680"/>
        <w:tab w:val="right" w:pos="9360"/>
      </w:tabs>
    </w:pPr>
  </w:style>
  <w:style w:type="character" w:customStyle="1" w:styleId="HeaderChar">
    <w:name w:val="Header Char"/>
    <w:basedOn w:val="DefaultParagraphFont"/>
    <w:link w:val="Header"/>
    <w:uiPriority w:val="99"/>
    <w:rsid w:val="00693181"/>
  </w:style>
  <w:style w:type="paragraph" w:styleId="Footer">
    <w:name w:val="footer"/>
    <w:basedOn w:val="Normal"/>
    <w:link w:val="FooterChar"/>
    <w:uiPriority w:val="99"/>
    <w:unhideWhenUsed/>
    <w:rsid w:val="00693181"/>
    <w:pPr>
      <w:tabs>
        <w:tab w:val="center" w:pos="4680"/>
        <w:tab w:val="right" w:pos="9360"/>
      </w:tabs>
    </w:pPr>
  </w:style>
  <w:style w:type="character" w:customStyle="1" w:styleId="FooterChar">
    <w:name w:val="Footer Char"/>
    <w:basedOn w:val="DefaultParagraphFont"/>
    <w:link w:val="Footer"/>
    <w:uiPriority w:val="99"/>
    <w:rsid w:val="00693181"/>
  </w:style>
  <w:style w:type="paragraph" w:styleId="BalloonText">
    <w:name w:val="Balloon Text"/>
    <w:basedOn w:val="Normal"/>
    <w:link w:val="BalloonTextChar"/>
    <w:uiPriority w:val="99"/>
    <w:semiHidden/>
    <w:unhideWhenUsed/>
    <w:rsid w:val="00693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181"/>
    <w:rPr>
      <w:rFonts w:ascii="Times New Roman" w:hAnsi="Times New Roman" w:cs="Times New Roman"/>
      <w:sz w:val="18"/>
      <w:szCs w:val="18"/>
    </w:rPr>
  </w:style>
  <w:style w:type="character" w:customStyle="1" w:styleId="Heading1Char">
    <w:name w:val="Heading 1 Char"/>
    <w:basedOn w:val="DefaultParagraphFont"/>
    <w:link w:val="Heading1"/>
    <w:uiPriority w:val="9"/>
    <w:rsid w:val="000129D5"/>
    <w:rPr>
      <w:rFonts w:ascii="Arial" w:hAnsi="Arial" w:cs="Arial"/>
      <w:b/>
      <w:color w:val="005A38"/>
      <w:sz w:val="28"/>
      <w:szCs w:val="28"/>
    </w:rPr>
  </w:style>
  <w:style w:type="paragraph" w:styleId="ListParagraph">
    <w:name w:val="List Paragraph"/>
    <w:basedOn w:val="Normal"/>
    <w:uiPriority w:val="34"/>
    <w:qFormat/>
    <w:rsid w:val="001204BE"/>
    <w:pPr>
      <w:spacing w:after="160" w:line="259" w:lineRule="auto"/>
      <w:ind w:left="720"/>
      <w:contextualSpacing/>
    </w:pPr>
    <w:rPr>
      <w:sz w:val="22"/>
      <w:szCs w:val="22"/>
      <w:lang w:val="en-CA"/>
    </w:rPr>
  </w:style>
  <w:style w:type="character" w:styleId="Hyperlink">
    <w:name w:val="Hyperlink"/>
    <w:basedOn w:val="DefaultParagraphFont"/>
    <w:uiPriority w:val="99"/>
    <w:unhideWhenUsed/>
    <w:rsid w:val="001204BE"/>
    <w:rPr>
      <w:color w:val="0563C1" w:themeColor="hyperlink"/>
      <w:u w:val="single"/>
    </w:rPr>
  </w:style>
  <w:style w:type="character" w:customStyle="1" w:styleId="Heading2Char">
    <w:name w:val="Heading 2 Char"/>
    <w:basedOn w:val="DefaultParagraphFont"/>
    <w:link w:val="Heading2"/>
    <w:uiPriority w:val="9"/>
    <w:semiHidden/>
    <w:rsid w:val="000129D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129D5"/>
    <w:rPr>
      <w:sz w:val="16"/>
      <w:szCs w:val="16"/>
    </w:rPr>
  </w:style>
  <w:style w:type="paragraph" w:styleId="CommentText">
    <w:name w:val="annotation text"/>
    <w:basedOn w:val="Normal"/>
    <w:link w:val="CommentTextChar"/>
    <w:uiPriority w:val="99"/>
    <w:semiHidden/>
    <w:unhideWhenUsed/>
    <w:rsid w:val="000129D5"/>
    <w:pPr>
      <w:spacing w:after="160"/>
    </w:pPr>
    <w:rPr>
      <w:sz w:val="20"/>
      <w:szCs w:val="20"/>
    </w:rPr>
  </w:style>
  <w:style w:type="character" w:customStyle="1" w:styleId="CommentTextChar">
    <w:name w:val="Comment Text Char"/>
    <w:basedOn w:val="DefaultParagraphFont"/>
    <w:link w:val="CommentText"/>
    <w:uiPriority w:val="99"/>
    <w:semiHidden/>
    <w:rsid w:val="000129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riipen.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iipen.com/"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package" Target="embeddings/Microsoft_Visio_Drawing.vsdx"/><Relationship Id="rId25" Type="http://schemas.openxmlformats.org/officeDocument/2006/relationships/hyperlink" Target="mailto:brownj1@algonquincollege.com"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www.algonquincollege.com/el/files/2019/05/A05-Experiential-Learning-Checklist-FINAL-Sept-5-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algonquincollege.com/el/files/2020/02/WIL-Typology-Feb-11-2020.pdf"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www.algonquincollege.com/e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brownj1@algonquincolleg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3DFD88-6723-4F02-B754-3E5C620D3600}" type="doc">
      <dgm:prSet loTypeId="urn:microsoft.com/office/officeart/2005/8/layout/hList1" loCatId="list" qsTypeId="urn:microsoft.com/office/officeart/2005/8/quickstyle/simple1" qsCatId="simple" csTypeId="urn:microsoft.com/office/officeart/2005/8/colors/accent6_2" csCatId="accent6" phldr="1"/>
      <dgm:spPr/>
      <dgm:t>
        <a:bodyPr/>
        <a:lstStyle/>
        <a:p>
          <a:endParaRPr lang="en-US"/>
        </a:p>
      </dgm:t>
    </dgm:pt>
    <dgm:pt modelId="{69BA8ADF-335A-493E-8593-B46738A19EDE}">
      <dgm:prSet phldrT="[Text]" custT="1"/>
      <dgm:spPr>
        <a:solidFill>
          <a:srgbClr val="005A38"/>
        </a:solidFill>
        <a:ln>
          <a:solidFill>
            <a:srgbClr val="005A38"/>
          </a:solidFill>
        </a:ln>
      </dgm:spPr>
      <dgm:t>
        <a:bodyPr/>
        <a:lstStyle/>
        <a:p>
          <a:r>
            <a:rPr lang="en-US" sz="1100" b="1"/>
            <a:t>1. Complete as Designed</a:t>
          </a:r>
          <a:endParaRPr lang="en-US" sz="1100"/>
        </a:p>
      </dgm:t>
    </dgm:pt>
    <dgm:pt modelId="{DB041C6F-AE5E-41E0-8A8E-54275834E280}" type="parTrans" cxnId="{B7A76AC0-F9B5-4893-B99B-08DB81F57AEF}">
      <dgm:prSet/>
      <dgm:spPr/>
      <dgm:t>
        <a:bodyPr/>
        <a:lstStyle/>
        <a:p>
          <a:endParaRPr lang="en-US"/>
        </a:p>
      </dgm:t>
    </dgm:pt>
    <dgm:pt modelId="{7501425F-74BE-449A-929C-866098F1B1AF}" type="sibTrans" cxnId="{B7A76AC0-F9B5-4893-B99B-08DB81F57AEF}">
      <dgm:prSet/>
      <dgm:spPr/>
      <dgm:t>
        <a:bodyPr/>
        <a:lstStyle/>
        <a:p>
          <a:endParaRPr lang="en-US"/>
        </a:p>
      </dgm:t>
    </dgm:pt>
    <dgm:pt modelId="{296EE1F6-B2A7-4E8E-9FC3-CB8E9F9EF9B2}">
      <dgm:prSet phldrT="[Text]" custT="1"/>
      <dgm:spPr>
        <a:solidFill>
          <a:srgbClr val="005A38"/>
        </a:solidFill>
        <a:ln>
          <a:solidFill>
            <a:srgbClr val="005A38"/>
          </a:solidFill>
        </a:ln>
      </dgm:spPr>
      <dgm:t>
        <a:bodyPr/>
        <a:lstStyle/>
        <a:p>
          <a:r>
            <a:rPr lang="en-US" sz="1100" b="1"/>
            <a:t>2. Complete with Modification</a:t>
          </a:r>
          <a:endParaRPr lang="en-US" sz="1100"/>
        </a:p>
      </dgm:t>
    </dgm:pt>
    <dgm:pt modelId="{DDA8B0FB-DF2B-4B98-880B-1B857C6DA21A}" type="parTrans" cxnId="{F1126193-1308-4FD1-AED4-01020D6E65A4}">
      <dgm:prSet/>
      <dgm:spPr/>
      <dgm:t>
        <a:bodyPr/>
        <a:lstStyle/>
        <a:p>
          <a:endParaRPr lang="en-US"/>
        </a:p>
      </dgm:t>
    </dgm:pt>
    <dgm:pt modelId="{01C09DC0-468D-481F-9C96-715B09D18440}" type="sibTrans" cxnId="{F1126193-1308-4FD1-AED4-01020D6E65A4}">
      <dgm:prSet/>
      <dgm:spPr/>
      <dgm:t>
        <a:bodyPr/>
        <a:lstStyle/>
        <a:p>
          <a:endParaRPr lang="en-US"/>
        </a:p>
      </dgm:t>
    </dgm:pt>
    <dgm:pt modelId="{B0481166-4128-4C51-99D5-5717C2D33D9A}">
      <dgm:prSet phldrT="[Text]" custT="1"/>
      <dgm:spPr/>
      <dgm:t>
        <a:bodyPr/>
        <a:lstStyle/>
        <a:p>
          <a:r>
            <a:rPr lang="en-US" sz="1050"/>
            <a:t>Goals of the WIL experience can be completed with modifications such as changes in hours, conversion from a placement to a project, or move to virtual delivery. </a:t>
          </a:r>
        </a:p>
      </dgm:t>
    </dgm:pt>
    <dgm:pt modelId="{787BD493-FFCF-4581-9C5F-06FB9FB2925B}" type="parTrans" cxnId="{5D8878F4-5972-40A2-825A-4BB30991ECBA}">
      <dgm:prSet/>
      <dgm:spPr/>
      <dgm:t>
        <a:bodyPr/>
        <a:lstStyle/>
        <a:p>
          <a:endParaRPr lang="en-US"/>
        </a:p>
      </dgm:t>
    </dgm:pt>
    <dgm:pt modelId="{732BD089-81A2-4930-A766-56B13370B05E}" type="sibTrans" cxnId="{5D8878F4-5972-40A2-825A-4BB30991ECBA}">
      <dgm:prSet/>
      <dgm:spPr/>
      <dgm:t>
        <a:bodyPr/>
        <a:lstStyle/>
        <a:p>
          <a:endParaRPr lang="en-US"/>
        </a:p>
      </dgm:t>
    </dgm:pt>
    <dgm:pt modelId="{0A925B9A-07AB-4FD1-B71E-A2B90EAE8626}">
      <dgm:prSet phldrT="[Text]" custT="1"/>
      <dgm:spPr>
        <a:solidFill>
          <a:srgbClr val="005A38"/>
        </a:solidFill>
        <a:ln>
          <a:solidFill>
            <a:srgbClr val="005A38"/>
          </a:solidFill>
        </a:ln>
      </dgm:spPr>
      <dgm:t>
        <a:bodyPr/>
        <a:lstStyle/>
        <a:p>
          <a:r>
            <a:rPr lang="en-US" sz="1100" b="1"/>
            <a:t>3. Complete a Simulation</a:t>
          </a:r>
          <a:endParaRPr lang="en-US" sz="1100"/>
        </a:p>
      </dgm:t>
    </dgm:pt>
    <dgm:pt modelId="{4444B439-8236-4DFB-97E1-9B01BF25677B}" type="parTrans" cxnId="{43BA7A03-F4D4-4EC6-9983-59D6403C66D6}">
      <dgm:prSet/>
      <dgm:spPr/>
      <dgm:t>
        <a:bodyPr/>
        <a:lstStyle/>
        <a:p>
          <a:endParaRPr lang="en-US"/>
        </a:p>
      </dgm:t>
    </dgm:pt>
    <dgm:pt modelId="{0BEB150D-1EEA-4E9D-B624-D91215442F15}" type="sibTrans" cxnId="{43BA7A03-F4D4-4EC6-9983-59D6403C66D6}">
      <dgm:prSet/>
      <dgm:spPr/>
      <dgm:t>
        <a:bodyPr/>
        <a:lstStyle/>
        <a:p>
          <a:endParaRPr lang="en-US"/>
        </a:p>
      </dgm:t>
    </dgm:pt>
    <dgm:pt modelId="{D53DAF32-C0F1-4FCC-875E-C349263AC658}">
      <dgm:prSet phldrT="[Text]" custT="1"/>
      <dgm:spPr/>
      <dgm:t>
        <a:bodyPr/>
        <a:lstStyle/>
        <a:p>
          <a:r>
            <a:rPr lang="en-US" sz="1050"/>
            <a:t>Where it is not possible to engage real employers or clients, a simulated experience can be designed that would address the goals of the WIL experience and meet the MTCU’s experiential learning checklist?</a:t>
          </a:r>
        </a:p>
      </dgm:t>
    </dgm:pt>
    <dgm:pt modelId="{356A70E2-FF14-4AF8-BBFA-11933D4A4627}" type="parTrans" cxnId="{50550DFC-4153-4DB7-927F-73CE6D2F3EC2}">
      <dgm:prSet/>
      <dgm:spPr/>
      <dgm:t>
        <a:bodyPr/>
        <a:lstStyle/>
        <a:p>
          <a:endParaRPr lang="en-US"/>
        </a:p>
      </dgm:t>
    </dgm:pt>
    <dgm:pt modelId="{55489EB1-EB12-4B60-A8FE-7EB568E67025}" type="sibTrans" cxnId="{50550DFC-4153-4DB7-927F-73CE6D2F3EC2}">
      <dgm:prSet/>
      <dgm:spPr/>
      <dgm:t>
        <a:bodyPr/>
        <a:lstStyle/>
        <a:p>
          <a:endParaRPr lang="en-US"/>
        </a:p>
      </dgm:t>
    </dgm:pt>
    <dgm:pt modelId="{1FF059E9-3204-4BD9-8D61-34D5A1B1C37F}">
      <dgm:prSet phldrT="[Text]" custT="1"/>
      <dgm:spPr>
        <a:solidFill>
          <a:srgbClr val="9A1E1E"/>
        </a:solidFill>
        <a:ln>
          <a:solidFill>
            <a:srgbClr val="BE3636"/>
          </a:solidFill>
        </a:ln>
      </dgm:spPr>
      <dgm:t>
        <a:bodyPr/>
        <a:lstStyle/>
        <a:p>
          <a:r>
            <a:rPr lang="en-US" sz="1100" b="1"/>
            <a:t>4. Defer WIL Experience</a:t>
          </a:r>
          <a:endParaRPr lang="en-US" sz="1100"/>
        </a:p>
      </dgm:t>
    </dgm:pt>
    <dgm:pt modelId="{CAA2833F-2CFA-443C-93F7-258EAF1FA40E}" type="parTrans" cxnId="{1DD017CE-87E8-4FDD-8CD8-FF509B464825}">
      <dgm:prSet/>
      <dgm:spPr/>
      <dgm:t>
        <a:bodyPr/>
        <a:lstStyle/>
        <a:p>
          <a:endParaRPr lang="en-US"/>
        </a:p>
      </dgm:t>
    </dgm:pt>
    <dgm:pt modelId="{A8CA5A00-6E2C-4272-8C47-E9597214D6B5}" type="sibTrans" cxnId="{1DD017CE-87E8-4FDD-8CD8-FF509B464825}">
      <dgm:prSet/>
      <dgm:spPr/>
      <dgm:t>
        <a:bodyPr/>
        <a:lstStyle/>
        <a:p>
          <a:endParaRPr lang="en-US"/>
        </a:p>
      </dgm:t>
    </dgm:pt>
    <dgm:pt modelId="{F4F8216A-32CA-429D-9AA6-44D95FB993C6}">
      <dgm:prSet custT="1"/>
      <dgm:spPr>
        <a:solidFill>
          <a:srgbClr val="F1B5B5">
            <a:alpha val="89804"/>
          </a:srgbClr>
        </a:solidFill>
        <a:ln>
          <a:solidFill>
            <a:srgbClr val="E9B1B1">
              <a:alpha val="90000"/>
            </a:srgbClr>
          </a:solidFill>
        </a:ln>
      </dgm:spPr>
      <dgm:t>
        <a:bodyPr/>
        <a:lstStyle/>
        <a:p>
          <a:r>
            <a:rPr lang="en-US" sz="1050"/>
            <a:t>Where it is not possible modify the WIL or offer a simulated experience, you may need to postpone the WIL.</a:t>
          </a:r>
        </a:p>
      </dgm:t>
    </dgm:pt>
    <dgm:pt modelId="{10B3548C-E8E7-4C5F-A730-17B71F46AED8}" type="parTrans" cxnId="{8CF2B93A-81BF-480B-9C88-839775EBC374}">
      <dgm:prSet/>
      <dgm:spPr/>
      <dgm:t>
        <a:bodyPr/>
        <a:lstStyle/>
        <a:p>
          <a:endParaRPr lang="en-US"/>
        </a:p>
      </dgm:t>
    </dgm:pt>
    <dgm:pt modelId="{4029C9E1-17A1-48F1-89B1-EA7829BCCE95}" type="sibTrans" cxnId="{8CF2B93A-81BF-480B-9C88-839775EBC374}">
      <dgm:prSet/>
      <dgm:spPr/>
      <dgm:t>
        <a:bodyPr/>
        <a:lstStyle/>
        <a:p>
          <a:endParaRPr lang="en-US"/>
        </a:p>
      </dgm:t>
    </dgm:pt>
    <dgm:pt modelId="{944F0EA3-DF97-495D-A949-FC911696EFCF}">
      <dgm:prSet phldrT="[Text]" custT="1"/>
      <dgm:spPr/>
      <dgm:t>
        <a:bodyPr/>
        <a:lstStyle/>
        <a:p>
          <a:r>
            <a:rPr lang="en-US" sz="1050"/>
            <a:t>Some project-based WIL may be conducted virtually or by distance by design and can be completed without significant modification.</a:t>
          </a:r>
        </a:p>
      </dgm:t>
    </dgm:pt>
    <dgm:pt modelId="{3D462A57-F866-4435-95FC-41FE2414F970}" type="sibTrans" cxnId="{29561D6C-303A-4601-85ED-6A2AC549DBA0}">
      <dgm:prSet/>
      <dgm:spPr/>
      <dgm:t>
        <a:bodyPr/>
        <a:lstStyle/>
        <a:p>
          <a:endParaRPr lang="en-US"/>
        </a:p>
      </dgm:t>
    </dgm:pt>
    <dgm:pt modelId="{17DB80C7-2778-4A88-B8AA-7D3144CA09E8}" type="parTrans" cxnId="{29561D6C-303A-4601-85ED-6A2AC549DBA0}">
      <dgm:prSet/>
      <dgm:spPr/>
      <dgm:t>
        <a:bodyPr/>
        <a:lstStyle/>
        <a:p>
          <a:endParaRPr lang="en-US"/>
        </a:p>
      </dgm:t>
    </dgm:pt>
    <dgm:pt modelId="{48776473-429D-45E1-BFED-1C7B585C3297}" type="pres">
      <dgm:prSet presAssocID="{FD3DFD88-6723-4F02-B754-3E5C620D3600}" presName="Name0" presStyleCnt="0">
        <dgm:presLayoutVars>
          <dgm:dir/>
          <dgm:animLvl val="lvl"/>
          <dgm:resizeHandles val="exact"/>
        </dgm:presLayoutVars>
      </dgm:prSet>
      <dgm:spPr/>
      <dgm:t>
        <a:bodyPr/>
        <a:lstStyle/>
        <a:p>
          <a:endParaRPr lang="en-US"/>
        </a:p>
      </dgm:t>
    </dgm:pt>
    <dgm:pt modelId="{9602904C-75FF-42F1-9679-876369403BB7}" type="pres">
      <dgm:prSet presAssocID="{69BA8ADF-335A-493E-8593-B46738A19EDE}" presName="composite" presStyleCnt="0"/>
      <dgm:spPr/>
    </dgm:pt>
    <dgm:pt modelId="{A87F2F22-F55A-4246-8A34-DA0A7BC298CF}" type="pres">
      <dgm:prSet presAssocID="{69BA8ADF-335A-493E-8593-B46738A19EDE}" presName="parTx" presStyleLbl="alignNode1" presStyleIdx="0" presStyleCnt="4" custLinFactNeighborY="-1812">
        <dgm:presLayoutVars>
          <dgm:chMax val="0"/>
          <dgm:chPref val="0"/>
          <dgm:bulletEnabled val="1"/>
        </dgm:presLayoutVars>
      </dgm:prSet>
      <dgm:spPr>
        <a:prstGeom prst="round2SameRect">
          <a:avLst/>
        </a:prstGeom>
      </dgm:spPr>
      <dgm:t>
        <a:bodyPr/>
        <a:lstStyle/>
        <a:p>
          <a:endParaRPr lang="en-US"/>
        </a:p>
      </dgm:t>
    </dgm:pt>
    <dgm:pt modelId="{66BB82BB-2CBE-4843-B8ED-8465E148FC36}" type="pres">
      <dgm:prSet presAssocID="{69BA8ADF-335A-493E-8593-B46738A19EDE}" presName="desTx" presStyleLbl="alignAccFollowNode1" presStyleIdx="0" presStyleCnt="4" custLinFactNeighborX="-166" custLinFactNeighborY="266">
        <dgm:presLayoutVars>
          <dgm:bulletEnabled val="1"/>
        </dgm:presLayoutVars>
      </dgm:prSet>
      <dgm:spPr/>
      <dgm:t>
        <a:bodyPr/>
        <a:lstStyle/>
        <a:p>
          <a:endParaRPr lang="en-US"/>
        </a:p>
      </dgm:t>
    </dgm:pt>
    <dgm:pt modelId="{831B979E-3D16-4A9B-9925-5E8420A0896D}" type="pres">
      <dgm:prSet presAssocID="{7501425F-74BE-449A-929C-866098F1B1AF}" presName="space" presStyleCnt="0"/>
      <dgm:spPr/>
    </dgm:pt>
    <dgm:pt modelId="{7AB8A427-66E1-4603-9683-51B2F94D0779}" type="pres">
      <dgm:prSet presAssocID="{296EE1F6-B2A7-4E8E-9FC3-CB8E9F9EF9B2}" presName="composite" presStyleCnt="0"/>
      <dgm:spPr/>
    </dgm:pt>
    <dgm:pt modelId="{A6C9E63D-9A2B-4EC3-BA8A-0891352C8014}" type="pres">
      <dgm:prSet presAssocID="{296EE1F6-B2A7-4E8E-9FC3-CB8E9F9EF9B2}" presName="parTx" presStyleLbl="alignNode1" presStyleIdx="1" presStyleCnt="4" custLinFactNeighborY="-1812">
        <dgm:presLayoutVars>
          <dgm:chMax val="0"/>
          <dgm:chPref val="0"/>
          <dgm:bulletEnabled val="1"/>
        </dgm:presLayoutVars>
      </dgm:prSet>
      <dgm:spPr>
        <a:prstGeom prst="round2SameRect">
          <a:avLst/>
        </a:prstGeom>
      </dgm:spPr>
      <dgm:t>
        <a:bodyPr/>
        <a:lstStyle/>
        <a:p>
          <a:endParaRPr lang="en-US"/>
        </a:p>
      </dgm:t>
    </dgm:pt>
    <dgm:pt modelId="{D2C2E81F-ECD4-4D49-9322-7FFCC96A9277}" type="pres">
      <dgm:prSet presAssocID="{296EE1F6-B2A7-4E8E-9FC3-CB8E9F9EF9B2}" presName="desTx" presStyleLbl="alignAccFollowNode1" presStyleIdx="1" presStyleCnt="4">
        <dgm:presLayoutVars>
          <dgm:bulletEnabled val="1"/>
        </dgm:presLayoutVars>
      </dgm:prSet>
      <dgm:spPr/>
      <dgm:t>
        <a:bodyPr/>
        <a:lstStyle/>
        <a:p>
          <a:endParaRPr lang="en-US"/>
        </a:p>
      </dgm:t>
    </dgm:pt>
    <dgm:pt modelId="{C73DB1E2-16A8-4059-8EE8-231C6CD2CC33}" type="pres">
      <dgm:prSet presAssocID="{01C09DC0-468D-481F-9C96-715B09D18440}" presName="space" presStyleCnt="0"/>
      <dgm:spPr/>
    </dgm:pt>
    <dgm:pt modelId="{F0C8B237-6FA8-470B-AD70-42D3EF177046}" type="pres">
      <dgm:prSet presAssocID="{0A925B9A-07AB-4FD1-B71E-A2B90EAE8626}" presName="composite" presStyleCnt="0"/>
      <dgm:spPr/>
    </dgm:pt>
    <dgm:pt modelId="{2E677C2B-3D01-40C5-9A20-ABE4D6F1066F}" type="pres">
      <dgm:prSet presAssocID="{0A925B9A-07AB-4FD1-B71E-A2B90EAE8626}" presName="parTx" presStyleLbl="alignNode1" presStyleIdx="2" presStyleCnt="4" custLinFactNeighborY="-1812">
        <dgm:presLayoutVars>
          <dgm:chMax val="0"/>
          <dgm:chPref val="0"/>
          <dgm:bulletEnabled val="1"/>
        </dgm:presLayoutVars>
      </dgm:prSet>
      <dgm:spPr>
        <a:prstGeom prst="round2SameRect">
          <a:avLst/>
        </a:prstGeom>
      </dgm:spPr>
      <dgm:t>
        <a:bodyPr/>
        <a:lstStyle/>
        <a:p>
          <a:endParaRPr lang="en-US"/>
        </a:p>
      </dgm:t>
    </dgm:pt>
    <dgm:pt modelId="{31288C00-C135-4E34-9069-9EE67D6F4618}" type="pres">
      <dgm:prSet presAssocID="{0A925B9A-07AB-4FD1-B71E-A2B90EAE8626}" presName="desTx" presStyleLbl="alignAccFollowNode1" presStyleIdx="2" presStyleCnt="4">
        <dgm:presLayoutVars>
          <dgm:bulletEnabled val="1"/>
        </dgm:presLayoutVars>
      </dgm:prSet>
      <dgm:spPr/>
      <dgm:t>
        <a:bodyPr/>
        <a:lstStyle/>
        <a:p>
          <a:endParaRPr lang="en-US"/>
        </a:p>
      </dgm:t>
    </dgm:pt>
    <dgm:pt modelId="{66652448-534A-4206-AFCA-2462C32D6373}" type="pres">
      <dgm:prSet presAssocID="{0BEB150D-1EEA-4E9D-B624-D91215442F15}" presName="space" presStyleCnt="0"/>
      <dgm:spPr/>
    </dgm:pt>
    <dgm:pt modelId="{70EBA7F2-FD9C-4745-8D71-E7EC09F04A34}" type="pres">
      <dgm:prSet presAssocID="{1FF059E9-3204-4BD9-8D61-34D5A1B1C37F}" presName="composite" presStyleCnt="0"/>
      <dgm:spPr/>
    </dgm:pt>
    <dgm:pt modelId="{3E14D829-52D9-4697-8106-0A6DCEBD0767}" type="pres">
      <dgm:prSet presAssocID="{1FF059E9-3204-4BD9-8D61-34D5A1B1C37F}" presName="parTx" presStyleLbl="alignNode1" presStyleIdx="3" presStyleCnt="4" custLinFactNeighborY="-1812">
        <dgm:presLayoutVars>
          <dgm:chMax val="0"/>
          <dgm:chPref val="0"/>
          <dgm:bulletEnabled val="1"/>
        </dgm:presLayoutVars>
      </dgm:prSet>
      <dgm:spPr>
        <a:prstGeom prst="round2SameRect">
          <a:avLst/>
        </a:prstGeom>
      </dgm:spPr>
      <dgm:t>
        <a:bodyPr/>
        <a:lstStyle/>
        <a:p>
          <a:endParaRPr lang="en-US"/>
        </a:p>
      </dgm:t>
    </dgm:pt>
    <dgm:pt modelId="{58ED2FC6-6D47-483C-8ADE-F1D9F6C974DF}" type="pres">
      <dgm:prSet presAssocID="{1FF059E9-3204-4BD9-8D61-34D5A1B1C37F}" presName="desTx" presStyleLbl="alignAccFollowNode1" presStyleIdx="3" presStyleCnt="4">
        <dgm:presLayoutVars>
          <dgm:bulletEnabled val="1"/>
        </dgm:presLayoutVars>
      </dgm:prSet>
      <dgm:spPr/>
      <dgm:t>
        <a:bodyPr/>
        <a:lstStyle/>
        <a:p>
          <a:endParaRPr lang="en-US"/>
        </a:p>
      </dgm:t>
    </dgm:pt>
  </dgm:ptLst>
  <dgm:cxnLst>
    <dgm:cxn modelId="{B7A76AC0-F9B5-4893-B99B-08DB81F57AEF}" srcId="{FD3DFD88-6723-4F02-B754-3E5C620D3600}" destId="{69BA8ADF-335A-493E-8593-B46738A19EDE}" srcOrd="0" destOrd="0" parTransId="{DB041C6F-AE5E-41E0-8A8E-54275834E280}" sibTransId="{7501425F-74BE-449A-929C-866098F1B1AF}"/>
    <dgm:cxn modelId="{24F3FE81-A785-4D29-AC0E-FFA306D026D2}" type="presOf" srcId="{D53DAF32-C0F1-4FCC-875E-C349263AC658}" destId="{31288C00-C135-4E34-9069-9EE67D6F4618}" srcOrd="0" destOrd="0" presId="urn:microsoft.com/office/officeart/2005/8/layout/hList1"/>
    <dgm:cxn modelId="{8CF2B93A-81BF-480B-9C88-839775EBC374}" srcId="{1FF059E9-3204-4BD9-8D61-34D5A1B1C37F}" destId="{F4F8216A-32CA-429D-9AA6-44D95FB993C6}" srcOrd="0" destOrd="0" parTransId="{10B3548C-E8E7-4C5F-A730-17B71F46AED8}" sibTransId="{4029C9E1-17A1-48F1-89B1-EA7829BCCE95}"/>
    <dgm:cxn modelId="{43BA7A03-F4D4-4EC6-9983-59D6403C66D6}" srcId="{FD3DFD88-6723-4F02-B754-3E5C620D3600}" destId="{0A925B9A-07AB-4FD1-B71E-A2B90EAE8626}" srcOrd="2" destOrd="0" parTransId="{4444B439-8236-4DFB-97E1-9B01BF25677B}" sibTransId="{0BEB150D-1EEA-4E9D-B624-D91215442F15}"/>
    <dgm:cxn modelId="{50550DFC-4153-4DB7-927F-73CE6D2F3EC2}" srcId="{0A925B9A-07AB-4FD1-B71E-A2B90EAE8626}" destId="{D53DAF32-C0F1-4FCC-875E-C349263AC658}" srcOrd="0" destOrd="0" parTransId="{356A70E2-FF14-4AF8-BBFA-11933D4A4627}" sibTransId="{55489EB1-EB12-4B60-A8FE-7EB568E67025}"/>
    <dgm:cxn modelId="{AF3A0900-04B4-44AD-A95C-3CFC33F8438F}" type="presOf" srcId="{1FF059E9-3204-4BD9-8D61-34D5A1B1C37F}" destId="{3E14D829-52D9-4697-8106-0A6DCEBD0767}" srcOrd="0" destOrd="0" presId="urn:microsoft.com/office/officeart/2005/8/layout/hList1"/>
    <dgm:cxn modelId="{5D8878F4-5972-40A2-825A-4BB30991ECBA}" srcId="{296EE1F6-B2A7-4E8E-9FC3-CB8E9F9EF9B2}" destId="{B0481166-4128-4C51-99D5-5717C2D33D9A}" srcOrd="0" destOrd="0" parTransId="{787BD493-FFCF-4581-9C5F-06FB9FB2925B}" sibTransId="{732BD089-81A2-4930-A766-56B13370B05E}"/>
    <dgm:cxn modelId="{927960D2-464E-4822-AD41-66339E766FB6}" type="presOf" srcId="{296EE1F6-B2A7-4E8E-9FC3-CB8E9F9EF9B2}" destId="{A6C9E63D-9A2B-4EC3-BA8A-0891352C8014}" srcOrd="0" destOrd="0" presId="urn:microsoft.com/office/officeart/2005/8/layout/hList1"/>
    <dgm:cxn modelId="{29561D6C-303A-4601-85ED-6A2AC549DBA0}" srcId="{69BA8ADF-335A-493E-8593-B46738A19EDE}" destId="{944F0EA3-DF97-495D-A949-FC911696EFCF}" srcOrd="0" destOrd="0" parTransId="{17DB80C7-2778-4A88-B8AA-7D3144CA09E8}" sibTransId="{3D462A57-F866-4435-95FC-41FE2414F970}"/>
    <dgm:cxn modelId="{EE128035-0BA0-4E88-87B7-4A9A0AF55116}" type="presOf" srcId="{0A925B9A-07AB-4FD1-B71E-A2B90EAE8626}" destId="{2E677C2B-3D01-40C5-9A20-ABE4D6F1066F}" srcOrd="0" destOrd="0" presId="urn:microsoft.com/office/officeart/2005/8/layout/hList1"/>
    <dgm:cxn modelId="{1DD017CE-87E8-4FDD-8CD8-FF509B464825}" srcId="{FD3DFD88-6723-4F02-B754-3E5C620D3600}" destId="{1FF059E9-3204-4BD9-8D61-34D5A1B1C37F}" srcOrd="3" destOrd="0" parTransId="{CAA2833F-2CFA-443C-93F7-258EAF1FA40E}" sibTransId="{A8CA5A00-6E2C-4272-8C47-E9597214D6B5}"/>
    <dgm:cxn modelId="{C0F3154E-0CA2-4EEB-8237-7DA7315B5F1D}" type="presOf" srcId="{F4F8216A-32CA-429D-9AA6-44D95FB993C6}" destId="{58ED2FC6-6D47-483C-8ADE-F1D9F6C974DF}" srcOrd="0" destOrd="0" presId="urn:microsoft.com/office/officeart/2005/8/layout/hList1"/>
    <dgm:cxn modelId="{F1126193-1308-4FD1-AED4-01020D6E65A4}" srcId="{FD3DFD88-6723-4F02-B754-3E5C620D3600}" destId="{296EE1F6-B2A7-4E8E-9FC3-CB8E9F9EF9B2}" srcOrd="1" destOrd="0" parTransId="{DDA8B0FB-DF2B-4B98-880B-1B857C6DA21A}" sibTransId="{01C09DC0-468D-481F-9C96-715B09D18440}"/>
    <dgm:cxn modelId="{AD5BF884-24A2-4E1B-9004-A34B46D328B9}" type="presOf" srcId="{944F0EA3-DF97-495D-A949-FC911696EFCF}" destId="{66BB82BB-2CBE-4843-B8ED-8465E148FC36}" srcOrd="0" destOrd="0" presId="urn:microsoft.com/office/officeart/2005/8/layout/hList1"/>
    <dgm:cxn modelId="{1B9677BE-4900-4E22-BA67-E15B3538C37F}" type="presOf" srcId="{B0481166-4128-4C51-99D5-5717C2D33D9A}" destId="{D2C2E81F-ECD4-4D49-9322-7FFCC96A9277}" srcOrd="0" destOrd="0" presId="urn:microsoft.com/office/officeart/2005/8/layout/hList1"/>
    <dgm:cxn modelId="{9D95EDE0-5F79-4C41-9917-486EFD28BEE2}" type="presOf" srcId="{69BA8ADF-335A-493E-8593-B46738A19EDE}" destId="{A87F2F22-F55A-4246-8A34-DA0A7BC298CF}" srcOrd="0" destOrd="0" presId="urn:microsoft.com/office/officeart/2005/8/layout/hList1"/>
    <dgm:cxn modelId="{7179C67C-9C6B-4F4C-A489-F55CE9E1D3D0}" type="presOf" srcId="{FD3DFD88-6723-4F02-B754-3E5C620D3600}" destId="{48776473-429D-45E1-BFED-1C7B585C3297}" srcOrd="0" destOrd="0" presId="urn:microsoft.com/office/officeart/2005/8/layout/hList1"/>
    <dgm:cxn modelId="{A5156D28-767C-4D8E-9B73-6BABB33BF2E2}" type="presParOf" srcId="{48776473-429D-45E1-BFED-1C7B585C3297}" destId="{9602904C-75FF-42F1-9679-876369403BB7}" srcOrd="0" destOrd="0" presId="urn:microsoft.com/office/officeart/2005/8/layout/hList1"/>
    <dgm:cxn modelId="{66530787-5D12-4F1E-812A-B3F6F6B59263}" type="presParOf" srcId="{9602904C-75FF-42F1-9679-876369403BB7}" destId="{A87F2F22-F55A-4246-8A34-DA0A7BC298CF}" srcOrd="0" destOrd="0" presId="urn:microsoft.com/office/officeart/2005/8/layout/hList1"/>
    <dgm:cxn modelId="{F37664CB-F05C-4811-A10F-A1ED8D5AE2A5}" type="presParOf" srcId="{9602904C-75FF-42F1-9679-876369403BB7}" destId="{66BB82BB-2CBE-4843-B8ED-8465E148FC36}" srcOrd="1" destOrd="0" presId="urn:microsoft.com/office/officeart/2005/8/layout/hList1"/>
    <dgm:cxn modelId="{2B41B46E-A0D4-4960-B67C-368861CBE13C}" type="presParOf" srcId="{48776473-429D-45E1-BFED-1C7B585C3297}" destId="{831B979E-3D16-4A9B-9925-5E8420A0896D}" srcOrd="1" destOrd="0" presId="urn:microsoft.com/office/officeart/2005/8/layout/hList1"/>
    <dgm:cxn modelId="{615053F5-6D05-4B93-9852-D1E8B5389DB1}" type="presParOf" srcId="{48776473-429D-45E1-BFED-1C7B585C3297}" destId="{7AB8A427-66E1-4603-9683-51B2F94D0779}" srcOrd="2" destOrd="0" presId="urn:microsoft.com/office/officeart/2005/8/layout/hList1"/>
    <dgm:cxn modelId="{0E6A9801-8C6A-4C7A-8BEE-AFE4311E3FF1}" type="presParOf" srcId="{7AB8A427-66E1-4603-9683-51B2F94D0779}" destId="{A6C9E63D-9A2B-4EC3-BA8A-0891352C8014}" srcOrd="0" destOrd="0" presId="urn:microsoft.com/office/officeart/2005/8/layout/hList1"/>
    <dgm:cxn modelId="{2F15AC9E-D11B-4408-A670-8AB5348C02B9}" type="presParOf" srcId="{7AB8A427-66E1-4603-9683-51B2F94D0779}" destId="{D2C2E81F-ECD4-4D49-9322-7FFCC96A9277}" srcOrd="1" destOrd="0" presId="urn:microsoft.com/office/officeart/2005/8/layout/hList1"/>
    <dgm:cxn modelId="{4C3FF35B-E0F7-4E90-9C4A-3E0D25BE8452}" type="presParOf" srcId="{48776473-429D-45E1-BFED-1C7B585C3297}" destId="{C73DB1E2-16A8-4059-8EE8-231C6CD2CC33}" srcOrd="3" destOrd="0" presId="urn:microsoft.com/office/officeart/2005/8/layout/hList1"/>
    <dgm:cxn modelId="{AE5957DE-9233-424B-A30F-011A57A5B175}" type="presParOf" srcId="{48776473-429D-45E1-BFED-1C7B585C3297}" destId="{F0C8B237-6FA8-470B-AD70-42D3EF177046}" srcOrd="4" destOrd="0" presId="urn:microsoft.com/office/officeart/2005/8/layout/hList1"/>
    <dgm:cxn modelId="{5C15AD61-0814-4C7A-AD49-E4BB649964D9}" type="presParOf" srcId="{F0C8B237-6FA8-470B-AD70-42D3EF177046}" destId="{2E677C2B-3D01-40C5-9A20-ABE4D6F1066F}" srcOrd="0" destOrd="0" presId="urn:microsoft.com/office/officeart/2005/8/layout/hList1"/>
    <dgm:cxn modelId="{3966AE07-B0FA-4E79-86CB-1A4F0CAE1168}" type="presParOf" srcId="{F0C8B237-6FA8-470B-AD70-42D3EF177046}" destId="{31288C00-C135-4E34-9069-9EE67D6F4618}" srcOrd="1" destOrd="0" presId="urn:microsoft.com/office/officeart/2005/8/layout/hList1"/>
    <dgm:cxn modelId="{BD448399-0AA8-4E54-973B-91FC2EAD9118}" type="presParOf" srcId="{48776473-429D-45E1-BFED-1C7B585C3297}" destId="{66652448-534A-4206-AFCA-2462C32D6373}" srcOrd="5" destOrd="0" presId="urn:microsoft.com/office/officeart/2005/8/layout/hList1"/>
    <dgm:cxn modelId="{18EE29B4-B9E9-47AA-B356-293A784E1DE5}" type="presParOf" srcId="{48776473-429D-45E1-BFED-1C7B585C3297}" destId="{70EBA7F2-FD9C-4745-8D71-E7EC09F04A34}" srcOrd="6" destOrd="0" presId="urn:microsoft.com/office/officeart/2005/8/layout/hList1"/>
    <dgm:cxn modelId="{412FDB24-AFAE-4F15-B1FE-FC6493090BF4}" type="presParOf" srcId="{70EBA7F2-FD9C-4745-8D71-E7EC09F04A34}" destId="{3E14D829-52D9-4697-8106-0A6DCEBD0767}" srcOrd="0" destOrd="0" presId="urn:microsoft.com/office/officeart/2005/8/layout/hList1"/>
    <dgm:cxn modelId="{846AD7F6-0770-49D5-AFBA-CB63FF11EEE1}" type="presParOf" srcId="{70EBA7F2-FD9C-4745-8D71-E7EC09F04A34}" destId="{58ED2FC6-6D47-483C-8ADE-F1D9F6C974DF}"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F2F22-F55A-4246-8A34-DA0A7BC298CF}">
      <dsp:nvSpPr>
        <dsp:cNvPr id="0" name=""/>
        <dsp:cNvSpPr/>
      </dsp:nvSpPr>
      <dsp:spPr>
        <a:xfrm>
          <a:off x="2363" y="0"/>
          <a:ext cx="1421215" cy="518400"/>
        </a:xfrm>
        <a:prstGeom prst="round2SameRect">
          <a:avLst/>
        </a:prstGeom>
        <a:solidFill>
          <a:srgbClr val="005A38"/>
        </a:solidFill>
        <a:ln w="12700" cap="flat" cmpd="sng" algn="ctr">
          <a:solidFill>
            <a:srgbClr val="005A3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t>1. Complete as Designed</a:t>
          </a:r>
          <a:endParaRPr lang="en-US" sz="1100" kern="1200"/>
        </a:p>
      </dsp:txBody>
      <dsp:txXfrm>
        <a:off x="27669" y="25306"/>
        <a:ext cx="1370603" cy="493094"/>
      </dsp:txXfrm>
    </dsp:sp>
    <dsp:sp modelId="{66BB82BB-2CBE-4843-B8ED-8465E148FC36}">
      <dsp:nvSpPr>
        <dsp:cNvPr id="0" name=""/>
        <dsp:cNvSpPr/>
      </dsp:nvSpPr>
      <dsp:spPr>
        <a:xfrm>
          <a:off x="4" y="525768"/>
          <a:ext cx="1421215" cy="176023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t>Some project-based WIL may be conducted virtually or by distance by design and can be completed without significant modification.</a:t>
          </a:r>
        </a:p>
      </dsp:txBody>
      <dsp:txXfrm>
        <a:off x="4" y="525768"/>
        <a:ext cx="1421215" cy="1760231"/>
      </dsp:txXfrm>
    </dsp:sp>
    <dsp:sp modelId="{A6C9E63D-9A2B-4EC3-BA8A-0891352C8014}">
      <dsp:nvSpPr>
        <dsp:cNvPr id="0" name=""/>
        <dsp:cNvSpPr/>
      </dsp:nvSpPr>
      <dsp:spPr>
        <a:xfrm>
          <a:off x="1622549" y="0"/>
          <a:ext cx="1421215" cy="518400"/>
        </a:xfrm>
        <a:prstGeom prst="round2SameRect">
          <a:avLst/>
        </a:prstGeom>
        <a:solidFill>
          <a:srgbClr val="005A38"/>
        </a:solidFill>
        <a:ln w="12700" cap="flat" cmpd="sng" algn="ctr">
          <a:solidFill>
            <a:srgbClr val="005A3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t>2. Complete with Modification</a:t>
          </a:r>
          <a:endParaRPr lang="en-US" sz="1100" kern="1200"/>
        </a:p>
      </dsp:txBody>
      <dsp:txXfrm>
        <a:off x="1647855" y="25306"/>
        <a:ext cx="1370603" cy="493094"/>
      </dsp:txXfrm>
    </dsp:sp>
    <dsp:sp modelId="{D2C2E81F-ECD4-4D49-9322-7FFCC96A9277}">
      <dsp:nvSpPr>
        <dsp:cNvPr id="0" name=""/>
        <dsp:cNvSpPr/>
      </dsp:nvSpPr>
      <dsp:spPr>
        <a:xfrm>
          <a:off x="1622549" y="522084"/>
          <a:ext cx="1421215" cy="176023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t>Goals of the WIL experience can be completed with modifications such as changes in hours, conversion from a placement to a project, or move to virtual delivery. </a:t>
          </a:r>
        </a:p>
      </dsp:txBody>
      <dsp:txXfrm>
        <a:off x="1622549" y="522084"/>
        <a:ext cx="1421215" cy="1760231"/>
      </dsp:txXfrm>
    </dsp:sp>
    <dsp:sp modelId="{2E677C2B-3D01-40C5-9A20-ABE4D6F1066F}">
      <dsp:nvSpPr>
        <dsp:cNvPr id="0" name=""/>
        <dsp:cNvSpPr/>
      </dsp:nvSpPr>
      <dsp:spPr>
        <a:xfrm>
          <a:off x="3242735" y="0"/>
          <a:ext cx="1421215" cy="518400"/>
        </a:xfrm>
        <a:prstGeom prst="round2SameRect">
          <a:avLst/>
        </a:prstGeom>
        <a:solidFill>
          <a:srgbClr val="005A38"/>
        </a:solidFill>
        <a:ln w="12700" cap="flat" cmpd="sng" algn="ctr">
          <a:solidFill>
            <a:srgbClr val="005A3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t>3. Complete a Simulation</a:t>
          </a:r>
          <a:endParaRPr lang="en-US" sz="1100" kern="1200"/>
        </a:p>
      </dsp:txBody>
      <dsp:txXfrm>
        <a:off x="3268041" y="25306"/>
        <a:ext cx="1370603" cy="493094"/>
      </dsp:txXfrm>
    </dsp:sp>
    <dsp:sp modelId="{31288C00-C135-4E34-9069-9EE67D6F4618}">
      <dsp:nvSpPr>
        <dsp:cNvPr id="0" name=""/>
        <dsp:cNvSpPr/>
      </dsp:nvSpPr>
      <dsp:spPr>
        <a:xfrm>
          <a:off x="3242735" y="522084"/>
          <a:ext cx="1421215" cy="176023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t>Where it is not possible to engage real employers or clients, a simulated experience can be designed that would address the goals of the WIL experience and meet the MTCU’s experiential learning checklist?</a:t>
          </a:r>
        </a:p>
      </dsp:txBody>
      <dsp:txXfrm>
        <a:off x="3242735" y="522084"/>
        <a:ext cx="1421215" cy="1760231"/>
      </dsp:txXfrm>
    </dsp:sp>
    <dsp:sp modelId="{3E14D829-52D9-4697-8106-0A6DCEBD0767}">
      <dsp:nvSpPr>
        <dsp:cNvPr id="0" name=""/>
        <dsp:cNvSpPr/>
      </dsp:nvSpPr>
      <dsp:spPr>
        <a:xfrm>
          <a:off x="4862920" y="0"/>
          <a:ext cx="1421215" cy="518400"/>
        </a:xfrm>
        <a:prstGeom prst="round2SameRect">
          <a:avLst/>
        </a:prstGeom>
        <a:solidFill>
          <a:srgbClr val="9A1E1E"/>
        </a:solidFill>
        <a:ln w="12700" cap="flat" cmpd="sng" algn="ctr">
          <a:solidFill>
            <a:srgbClr val="BE363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t>4. Defer WIL Experience</a:t>
          </a:r>
          <a:endParaRPr lang="en-US" sz="1100" kern="1200"/>
        </a:p>
      </dsp:txBody>
      <dsp:txXfrm>
        <a:off x="4888226" y="25306"/>
        <a:ext cx="1370603" cy="493094"/>
      </dsp:txXfrm>
    </dsp:sp>
    <dsp:sp modelId="{58ED2FC6-6D47-483C-8ADE-F1D9F6C974DF}">
      <dsp:nvSpPr>
        <dsp:cNvPr id="0" name=""/>
        <dsp:cNvSpPr/>
      </dsp:nvSpPr>
      <dsp:spPr>
        <a:xfrm>
          <a:off x="4862920" y="522084"/>
          <a:ext cx="1421215" cy="1760231"/>
        </a:xfrm>
        <a:prstGeom prst="rect">
          <a:avLst/>
        </a:prstGeom>
        <a:solidFill>
          <a:srgbClr val="F1B5B5">
            <a:alpha val="89804"/>
          </a:srgbClr>
        </a:solidFill>
        <a:ln w="12700" cap="flat" cmpd="sng" algn="ctr">
          <a:solidFill>
            <a:srgbClr val="E9B1B1">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a:t>Where it is not possible modify the WIL or offer a simulated experience, you may need to postpone the WIL.</a:t>
          </a:r>
        </a:p>
      </dsp:txBody>
      <dsp:txXfrm>
        <a:off x="4862920" y="522084"/>
        <a:ext cx="1421215" cy="176023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31DAE8CB37246BD45905BD68AF78E" ma:contentTypeVersion="12" ma:contentTypeDescription="Create a new document." ma:contentTypeScope="" ma:versionID="f3f73808e39ab827a2a86c80878424f8">
  <xsd:schema xmlns:xsd="http://www.w3.org/2001/XMLSchema" xmlns:xs="http://www.w3.org/2001/XMLSchema" xmlns:p="http://schemas.microsoft.com/office/2006/metadata/properties" xmlns:ns3="cc053214-a83e-4bcb-bd5d-e7e01ec678a0" xmlns:ns4="2779abdc-c124-4765-8dc5-d09609b07bac" targetNamespace="http://schemas.microsoft.com/office/2006/metadata/properties" ma:root="true" ma:fieldsID="1879ec1c499f6e23a03435b82bd5cfa2" ns3:_="" ns4:_="">
    <xsd:import namespace="cc053214-a83e-4bcb-bd5d-e7e01ec678a0"/>
    <xsd:import namespace="2779abdc-c124-4765-8dc5-d09609b07b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3214-a83e-4bcb-bd5d-e7e01ec67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9abdc-c124-4765-8dc5-d09609b07b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7354-19D8-4544-A45D-5FD8C0C3A34C}">
  <ds:schemaRefs>
    <ds:schemaRef ds:uri="http://schemas.microsoft.com/sharepoint/v3/contenttype/forms"/>
  </ds:schemaRefs>
</ds:datastoreItem>
</file>

<file path=customXml/itemProps2.xml><?xml version="1.0" encoding="utf-8"?>
<ds:datastoreItem xmlns:ds="http://schemas.openxmlformats.org/officeDocument/2006/customXml" ds:itemID="{1FD54BB4-9465-48EF-BCA3-FAD9EBEE02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E0D0FF-64F6-4C3B-ABF6-90F162500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3214-a83e-4bcb-bd5d-e7e01ec678a0"/>
    <ds:schemaRef ds:uri="2779abdc-c124-4765-8dc5-d09609b07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4F3CB-373A-44D3-9D03-8806A02B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dc:creator>
  <cp:keywords/>
  <dc:description/>
  <cp:lastModifiedBy>Jessica Brown</cp:lastModifiedBy>
  <cp:revision>2</cp:revision>
  <dcterms:created xsi:type="dcterms:W3CDTF">2020-04-02T14:59:00Z</dcterms:created>
  <dcterms:modified xsi:type="dcterms:W3CDTF">2020-04-02T14:59:00Z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0x010100EB331DAE8CB37246BD45905BD68AF78E</vt:lpwstr>
  </property>
</Properties>
</file>